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3320E">
      <w:pPr>
        <w:spacing w:line="240" w:lineRule="auto"/>
        <w:jc w:val="center"/>
        <w:rPr>
          <w:color w:val="auto"/>
          <w:sz w:val="56"/>
          <w:highlight w:val="none"/>
        </w:rPr>
      </w:pPr>
    </w:p>
    <w:p w14:paraId="1C3CE59C">
      <w:pPr>
        <w:spacing w:line="240" w:lineRule="auto"/>
        <w:jc w:val="center"/>
        <w:rPr>
          <w:color w:val="auto"/>
          <w:sz w:val="56"/>
          <w:highlight w:val="none"/>
        </w:rPr>
      </w:pPr>
    </w:p>
    <w:p w14:paraId="13873C9C">
      <w:pPr>
        <w:spacing w:line="240" w:lineRule="auto"/>
        <w:jc w:val="center"/>
        <w:rPr>
          <w:color w:val="auto"/>
          <w:sz w:val="56"/>
          <w:highlight w:val="none"/>
        </w:rPr>
      </w:pPr>
    </w:p>
    <w:p w14:paraId="3A8F4779">
      <w:pPr>
        <w:spacing w:line="240" w:lineRule="auto"/>
        <w:jc w:val="center"/>
        <w:rPr>
          <w:color w:val="auto"/>
          <w:highlight w:val="none"/>
        </w:rPr>
      </w:pPr>
      <w:r>
        <w:rPr>
          <w:color w:val="auto"/>
          <w:highlight w:val="none"/>
        </w:rPr>
        <w:drawing>
          <wp:inline distT="0" distB="0" distL="0" distR="0">
            <wp:extent cx="2061210" cy="20637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t="14935" b="14319"/>
                    <a:stretch>
                      <a:fillRect/>
                    </a:stretch>
                  </pic:blipFill>
                  <pic:spPr>
                    <a:xfrm>
                      <a:off x="0" y="0"/>
                      <a:ext cx="2064557" cy="2067103"/>
                    </a:xfrm>
                    <a:prstGeom prst="rect">
                      <a:avLst/>
                    </a:prstGeom>
                    <a:noFill/>
                    <a:ln>
                      <a:noFill/>
                    </a:ln>
                  </pic:spPr>
                </pic:pic>
              </a:graphicData>
            </a:graphic>
          </wp:inline>
        </w:drawing>
      </w:r>
    </w:p>
    <w:p w14:paraId="3108F0B7">
      <w:pPr>
        <w:pBdr>
          <w:bottom w:val="single" w:color="auto" w:sz="4" w:space="1"/>
        </w:pBdr>
        <w:spacing w:line="240" w:lineRule="auto"/>
        <w:jc w:val="center"/>
        <w:rPr>
          <w:rFonts w:hint="eastAsia" w:ascii="黑体" w:hAnsi="黑体" w:eastAsia="黑体" w:cs="黑体"/>
          <w:b/>
          <w:color w:val="auto"/>
          <w:sz w:val="72"/>
          <w:szCs w:val="52"/>
          <w:highlight w:val="none"/>
        </w:rPr>
      </w:pPr>
      <w:r>
        <w:rPr>
          <w:rFonts w:hint="eastAsia" w:ascii="黑体" w:hAnsi="黑体" w:eastAsia="黑体" w:cs="黑体"/>
          <w:b/>
          <w:bCs w:val="0"/>
          <w:color w:val="auto"/>
          <w:sz w:val="52"/>
          <w:szCs w:val="52"/>
          <w:highlight w:val="none"/>
        </w:rPr>
        <w:t>北京大学法学院</w:t>
      </w:r>
    </w:p>
    <w:p w14:paraId="64220ABF">
      <w:pPr>
        <w:spacing w:line="240" w:lineRule="auto"/>
        <w:jc w:val="center"/>
        <w:rPr>
          <w:rFonts w:ascii="思源宋体 CN Heavy" w:hAnsi="思源宋体 CN Heavy" w:eastAsia="思源宋体 CN Heavy"/>
          <w:b/>
          <w:bCs w:val="0"/>
          <w:color w:val="auto"/>
          <w:sz w:val="56"/>
          <w:szCs w:val="52"/>
          <w:highlight w:val="none"/>
        </w:rPr>
      </w:pPr>
      <w:r>
        <w:rPr>
          <w:rFonts w:hint="eastAsia" w:ascii="黑体" w:hAnsi="黑体" w:eastAsia="黑体" w:cs="黑体"/>
          <w:b/>
          <w:bCs w:val="0"/>
          <w:color w:val="auto"/>
          <w:sz w:val="52"/>
          <w:szCs w:val="52"/>
          <w:highlight w:val="none"/>
          <w:lang w:val="en-US" w:eastAsia="zh-CN"/>
        </w:rPr>
        <w:t>本科</w:t>
      </w:r>
      <w:r>
        <w:rPr>
          <w:rFonts w:hint="eastAsia" w:ascii="黑体" w:hAnsi="黑体" w:eastAsia="黑体" w:cs="黑体"/>
          <w:b/>
          <w:bCs w:val="0"/>
          <w:color w:val="auto"/>
          <w:sz w:val="52"/>
          <w:szCs w:val="52"/>
          <w:highlight w:val="none"/>
        </w:rPr>
        <w:t>生</w:t>
      </w:r>
      <w:r>
        <w:rPr>
          <w:rFonts w:hint="eastAsia" w:ascii="黑体" w:hAnsi="黑体" w:eastAsia="黑体" w:cs="黑体"/>
          <w:b/>
          <w:bCs w:val="0"/>
          <w:color w:val="auto"/>
          <w:sz w:val="52"/>
          <w:szCs w:val="52"/>
          <w:highlight w:val="none"/>
          <w:lang w:val="en-US" w:eastAsia="zh-CN"/>
        </w:rPr>
        <w:t>毕业（学位）</w:t>
      </w:r>
      <w:r>
        <w:rPr>
          <w:rFonts w:hint="eastAsia" w:ascii="黑体" w:hAnsi="黑体" w:eastAsia="黑体" w:cs="黑体"/>
          <w:b/>
          <w:bCs w:val="0"/>
          <w:color w:val="auto"/>
          <w:sz w:val="52"/>
          <w:szCs w:val="52"/>
          <w:highlight w:val="none"/>
        </w:rPr>
        <w:t>论文写作补充规定</w:t>
      </w:r>
    </w:p>
    <w:p w14:paraId="4F3EE179">
      <w:pPr>
        <w:widowControl/>
        <w:spacing w:line="240" w:lineRule="auto"/>
        <w:jc w:val="center"/>
        <w:rPr>
          <w:color w:val="auto"/>
          <w:sz w:val="52"/>
          <w:highlight w:val="none"/>
        </w:rPr>
      </w:pPr>
    </w:p>
    <w:p w14:paraId="679E4BB9">
      <w:pPr>
        <w:widowControl/>
        <w:spacing w:line="240" w:lineRule="auto"/>
        <w:jc w:val="center"/>
        <w:rPr>
          <w:color w:val="auto"/>
          <w:sz w:val="52"/>
          <w:highlight w:val="none"/>
        </w:rPr>
      </w:pPr>
    </w:p>
    <w:p w14:paraId="5F93CEC7">
      <w:pPr>
        <w:widowControl/>
        <w:spacing w:line="240" w:lineRule="auto"/>
        <w:jc w:val="center"/>
        <w:rPr>
          <w:color w:val="auto"/>
          <w:sz w:val="52"/>
          <w:highlight w:val="none"/>
        </w:rPr>
      </w:pPr>
    </w:p>
    <w:p w14:paraId="6EFFF579">
      <w:pPr>
        <w:widowControl/>
        <w:spacing w:line="240" w:lineRule="auto"/>
        <w:jc w:val="center"/>
        <w:rPr>
          <w:color w:val="auto"/>
          <w:sz w:val="52"/>
          <w:highlight w:val="none"/>
        </w:rPr>
      </w:pPr>
    </w:p>
    <w:p w14:paraId="5A7EB621">
      <w:pPr>
        <w:widowControl/>
        <w:spacing w:line="240" w:lineRule="auto"/>
        <w:jc w:val="center"/>
        <w:rPr>
          <w:color w:val="auto"/>
          <w:sz w:val="52"/>
          <w:highlight w:val="none"/>
        </w:rPr>
      </w:pPr>
    </w:p>
    <w:p w14:paraId="51E3CA4E">
      <w:pPr>
        <w:widowControl/>
        <w:spacing w:line="240" w:lineRule="auto"/>
        <w:jc w:val="center"/>
        <w:rPr>
          <w:color w:val="auto"/>
          <w:sz w:val="52"/>
          <w:highlight w:val="none"/>
        </w:rPr>
      </w:pPr>
    </w:p>
    <w:p w14:paraId="518C3AD4">
      <w:pPr>
        <w:widowControl/>
        <w:spacing w:line="240" w:lineRule="auto"/>
        <w:jc w:val="center"/>
        <w:rPr>
          <w:color w:val="auto"/>
          <w:sz w:val="52"/>
          <w:highlight w:val="none"/>
        </w:rPr>
      </w:pPr>
      <w:bookmarkStart w:id="10" w:name="_GoBack"/>
      <w:bookmarkEnd w:id="10"/>
    </w:p>
    <w:p w14:paraId="6403CD36">
      <w:pPr>
        <w:widowControl/>
        <w:spacing w:line="240" w:lineRule="auto"/>
        <w:jc w:val="center"/>
        <w:rPr>
          <w:rFonts w:hint="eastAsia" w:ascii="黑体" w:hAnsi="黑体" w:eastAsia="黑体" w:cs="黑体"/>
          <w:b/>
          <w:color w:val="auto"/>
          <w:sz w:val="28"/>
          <w:szCs w:val="28"/>
          <w:highlight w:val="none"/>
        </w:rPr>
        <w:sectPr>
          <w:footerReference r:id="rId5" w:type="default"/>
          <w:pgSz w:w="11906" w:h="16838"/>
          <w:pgMar w:top="1701" w:right="1474" w:bottom="1418" w:left="1474" w:header="851" w:footer="992" w:gutter="0"/>
          <w:pgNumType w:fmt="upperRoman"/>
          <w:cols w:space="425" w:num="1"/>
          <w:titlePg/>
          <w:docGrid w:type="lines" w:linePitch="326" w:charSpace="0"/>
        </w:sectPr>
      </w:pPr>
      <w:r>
        <w:rPr>
          <w:rFonts w:hint="eastAsia" w:ascii="黑体" w:hAnsi="黑体" w:eastAsia="黑体" w:cs="黑体"/>
          <w:b/>
          <w:color w:val="auto"/>
          <w:sz w:val="28"/>
          <w:szCs w:val="28"/>
          <w:highlight w:val="none"/>
        </w:rPr>
        <w:t>202</w:t>
      </w:r>
      <w:r>
        <w:rPr>
          <w:rFonts w:hint="eastAsia" w:ascii="黑体" w:hAnsi="黑体" w:eastAsia="黑体" w:cs="黑体"/>
          <w:b/>
          <w:color w:val="auto"/>
          <w:sz w:val="28"/>
          <w:szCs w:val="28"/>
          <w:highlight w:val="none"/>
          <w:lang w:val="en-US" w:eastAsia="zh-CN"/>
        </w:rPr>
        <w:t>6</w:t>
      </w:r>
      <w:r>
        <w:rPr>
          <w:rFonts w:hint="eastAsia" w:ascii="黑体" w:hAnsi="黑体" w:eastAsia="黑体" w:cs="黑体"/>
          <w:b/>
          <w:color w:val="auto"/>
          <w:sz w:val="28"/>
          <w:szCs w:val="28"/>
          <w:highlight w:val="none"/>
        </w:rPr>
        <w:t>年</w:t>
      </w:r>
      <w:r>
        <w:rPr>
          <w:rFonts w:hint="eastAsia" w:ascii="黑体" w:hAnsi="黑体" w:eastAsia="黑体" w:cs="黑体"/>
          <w:b/>
          <w:color w:val="auto"/>
          <w:sz w:val="28"/>
          <w:szCs w:val="28"/>
          <w:highlight w:val="none"/>
          <w:lang w:val="en-US" w:eastAsia="zh-CN"/>
        </w:rPr>
        <w:t>9</w:t>
      </w:r>
      <w:r>
        <w:rPr>
          <w:rFonts w:hint="eastAsia" w:ascii="黑体" w:hAnsi="黑体" w:eastAsia="黑体" w:cs="黑体"/>
          <w:b/>
          <w:color w:val="auto"/>
          <w:sz w:val="28"/>
          <w:szCs w:val="28"/>
          <w:highlight w:val="none"/>
        </w:rPr>
        <w:t>月</w:t>
      </w:r>
    </w:p>
    <w:p w14:paraId="443523AC">
      <w:pPr>
        <w:spacing w:before="480" w:after="360"/>
        <w:jc w:val="center"/>
        <w:rPr>
          <w:rFonts w:ascii="黑体" w:hAnsi="黑体" w:eastAsia="黑体"/>
          <w:b/>
          <w:color w:val="auto"/>
          <w:sz w:val="32"/>
          <w:szCs w:val="32"/>
          <w:highlight w:val="none"/>
        </w:rPr>
      </w:pPr>
      <w:r>
        <w:rPr>
          <w:rFonts w:hint="eastAsia" w:ascii="黑体" w:hAnsi="黑体" w:eastAsia="黑体"/>
          <w:b/>
          <w:color w:val="auto"/>
          <w:sz w:val="32"/>
          <w:szCs w:val="32"/>
          <w:highlight w:val="none"/>
        </w:rPr>
        <w:t>前</w:t>
      </w:r>
      <w:r>
        <w:rPr>
          <w:rFonts w:ascii="黑体" w:hAnsi="黑体" w:eastAsia="黑体"/>
          <w:b/>
          <w:color w:val="auto"/>
          <w:sz w:val="32"/>
          <w:szCs w:val="32"/>
          <w:highlight w:val="none"/>
        </w:rPr>
        <w:t xml:space="preserve">  </w:t>
      </w:r>
      <w:r>
        <w:rPr>
          <w:rFonts w:hint="eastAsia" w:ascii="黑体" w:hAnsi="黑体" w:eastAsia="黑体"/>
          <w:b/>
          <w:color w:val="auto"/>
          <w:sz w:val="32"/>
          <w:szCs w:val="32"/>
          <w:highlight w:val="none"/>
        </w:rPr>
        <w:t>言</w:t>
      </w:r>
    </w:p>
    <w:p w14:paraId="49CA530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color w:val="auto"/>
          <w:highlight w:val="none"/>
        </w:rPr>
      </w:pPr>
      <w:r>
        <w:rPr>
          <w:rFonts w:hint="eastAsia"/>
          <w:color w:val="auto"/>
          <w:highlight w:val="none"/>
          <w:lang w:val="en-US" w:eastAsia="zh-CN"/>
        </w:rPr>
        <w:t>本科生毕业</w:t>
      </w:r>
      <w:r>
        <w:rPr>
          <w:rFonts w:hint="eastAsia"/>
          <w:color w:val="auto"/>
          <w:highlight w:val="none"/>
        </w:rPr>
        <w:t>论文应当严格遵守相关专业领域的基本写作、引文和注释规范。</w:t>
      </w:r>
      <w:r>
        <w:rPr>
          <w:rFonts w:hint="eastAsia"/>
          <w:color w:val="auto"/>
          <w:highlight w:val="none"/>
          <w:lang w:val="en-US" w:eastAsia="zh-CN"/>
        </w:rPr>
        <w:t>毕业</w:t>
      </w:r>
      <w:r>
        <w:rPr>
          <w:rFonts w:hint="eastAsia"/>
          <w:color w:val="auto"/>
          <w:highlight w:val="none"/>
        </w:rPr>
        <w:t>论文的格式要求及引注规范是论文评阅与答辩过程中的重要考量要素之一，还请同学们务必对此予以重视。鉴于法学学科论文在内容及引注规范方面存在的特殊性，北京大学法学院</w:t>
      </w:r>
      <w:r>
        <w:rPr>
          <w:rFonts w:hint="eastAsia"/>
          <w:color w:val="auto"/>
          <w:highlight w:val="none"/>
          <w:lang w:val="en-US" w:eastAsia="zh-CN"/>
        </w:rPr>
        <w:t>制定了</w:t>
      </w:r>
      <w:r>
        <w:rPr>
          <w:rFonts w:hint="eastAsia"/>
          <w:color w:val="auto"/>
          <w:highlight w:val="none"/>
        </w:rPr>
        <w:t>《北京大学法学院</w:t>
      </w:r>
      <w:r>
        <w:rPr>
          <w:rFonts w:hint="eastAsia"/>
          <w:color w:val="auto"/>
          <w:highlight w:val="none"/>
          <w:lang w:val="en-US" w:eastAsia="zh-CN"/>
        </w:rPr>
        <w:t>本科</w:t>
      </w:r>
      <w:r>
        <w:rPr>
          <w:rFonts w:hint="eastAsia"/>
          <w:color w:val="auto"/>
          <w:highlight w:val="none"/>
        </w:rPr>
        <w:t>生</w:t>
      </w:r>
      <w:r>
        <w:rPr>
          <w:rFonts w:hint="eastAsia"/>
          <w:color w:val="auto"/>
          <w:highlight w:val="none"/>
          <w:lang w:val="en-US" w:eastAsia="zh-CN"/>
        </w:rPr>
        <w:t>毕业（学位）</w:t>
      </w:r>
      <w:r>
        <w:rPr>
          <w:rFonts w:hint="eastAsia"/>
          <w:color w:val="auto"/>
          <w:highlight w:val="none"/>
        </w:rPr>
        <w:t>论文写作补充规定》（以下简称《补充规定》），旨在对</w:t>
      </w:r>
      <w:r>
        <w:rPr>
          <w:rFonts w:hint="eastAsia"/>
          <w:color w:val="auto"/>
          <w:highlight w:val="none"/>
          <w:lang w:val="en-US" w:eastAsia="zh-CN"/>
        </w:rPr>
        <w:t>本科生毕业</w:t>
      </w:r>
      <w:r>
        <w:rPr>
          <w:rFonts w:hint="eastAsia"/>
          <w:color w:val="auto"/>
          <w:highlight w:val="none"/>
        </w:rPr>
        <w:t>论文写作提供指导，请各位同学在</w:t>
      </w:r>
      <w:r>
        <w:rPr>
          <w:rFonts w:hint="eastAsia"/>
          <w:color w:val="auto"/>
          <w:highlight w:val="none"/>
          <w:lang w:val="en-US" w:eastAsia="zh-CN"/>
        </w:rPr>
        <w:t>毕业</w:t>
      </w:r>
      <w:r>
        <w:rPr>
          <w:rFonts w:hint="eastAsia"/>
          <w:color w:val="auto"/>
          <w:highlight w:val="none"/>
        </w:rPr>
        <w:t>论文写作过程中逐条对比参照。</w:t>
      </w:r>
    </w:p>
    <w:p w14:paraId="47D42625">
      <w:pPr>
        <w:keepNext w:val="0"/>
        <w:keepLines w:val="0"/>
        <w:pageBreakBefore w:val="0"/>
        <w:widowControl w:val="0"/>
        <w:kinsoku/>
        <w:wordWrap/>
        <w:overflowPunct/>
        <w:topLinePunct w:val="0"/>
        <w:autoSpaceDE/>
        <w:autoSpaceDN/>
        <w:bidi w:val="0"/>
        <w:adjustRightInd/>
        <w:snapToGrid/>
        <w:spacing w:line="480" w:lineRule="auto"/>
        <w:textAlignment w:val="auto"/>
        <w:rPr>
          <w:color w:val="auto"/>
          <w:highlight w:val="none"/>
        </w:rPr>
      </w:pPr>
    </w:p>
    <w:p w14:paraId="57E58022">
      <w:pPr>
        <w:keepNext w:val="0"/>
        <w:keepLines w:val="0"/>
        <w:pageBreakBefore w:val="0"/>
        <w:widowControl w:val="0"/>
        <w:kinsoku/>
        <w:wordWrap/>
        <w:overflowPunct/>
        <w:topLinePunct w:val="0"/>
        <w:autoSpaceDE/>
        <w:autoSpaceDN/>
        <w:bidi w:val="0"/>
        <w:adjustRightInd/>
        <w:snapToGrid/>
        <w:spacing w:line="480" w:lineRule="auto"/>
        <w:textAlignment w:val="auto"/>
        <w:rPr>
          <w:color w:val="auto"/>
          <w:highlight w:val="none"/>
        </w:rPr>
      </w:pPr>
    </w:p>
    <w:p w14:paraId="1AB5EDAA">
      <w:pPr>
        <w:keepNext w:val="0"/>
        <w:keepLines w:val="0"/>
        <w:pageBreakBefore w:val="0"/>
        <w:widowControl w:val="0"/>
        <w:kinsoku/>
        <w:wordWrap/>
        <w:overflowPunct/>
        <w:topLinePunct w:val="0"/>
        <w:autoSpaceDE/>
        <w:autoSpaceDN/>
        <w:bidi w:val="0"/>
        <w:adjustRightInd/>
        <w:snapToGrid/>
        <w:spacing w:line="480" w:lineRule="auto"/>
        <w:textAlignment w:val="auto"/>
        <w:rPr>
          <w:color w:val="auto"/>
          <w:highlight w:val="none"/>
        </w:rPr>
      </w:pPr>
    </w:p>
    <w:p w14:paraId="22C64FFD">
      <w:pPr>
        <w:keepNext w:val="0"/>
        <w:keepLines w:val="0"/>
        <w:pageBreakBefore w:val="0"/>
        <w:widowControl w:val="0"/>
        <w:kinsoku/>
        <w:wordWrap/>
        <w:overflowPunct/>
        <w:topLinePunct w:val="0"/>
        <w:autoSpaceDE/>
        <w:autoSpaceDN/>
        <w:bidi w:val="0"/>
        <w:adjustRightInd/>
        <w:snapToGrid/>
        <w:spacing w:line="480" w:lineRule="auto"/>
        <w:jc w:val="right"/>
        <w:textAlignment w:val="auto"/>
        <w:rPr>
          <w:color w:val="auto"/>
          <w:highlight w:val="none"/>
        </w:rPr>
      </w:pPr>
      <w:r>
        <w:rPr>
          <w:rFonts w:hint="eastAsia"/>
          <w:color w:val="auto"/>
          <w:highlight w:val="none"/>
        </w:rPr>
        <w:t>北京大学法学院</w:t>
      </w:r>
    </w:p>
    <w:p w14:paraId="02C5827F">
      <w:pPr>
        <w:keepNext w:val="0"/>
        <w:keepLines w:val="0"/>
        <w:pageBreakBefore w:val="0"/>
        <w:widowControl w:val="0"/>
        <w:kinsoku/>
        <w:wordWrap/>
        <w:overflowPunct/>
        <w:topLinePunct w:val="0"/>
        <w:autoSpaceDE/>
        <w:autoSpaceDN/>
        <w:bidi w:val="0"/>
        <w:adjustRightInd/>
        <w:snapToGrid/>
        <w:spacing w:line="480" w:lineRule="auto"/>
        <w:jc w:val="right"/>
        <w:textAlignment w:val="auto"/>
        <w:rPr>
          <w:color w:val="auto"/>
          <w:highlight w:val="none"/>
        </w:rPr>
      </w:pPr>
      <w:r>
        <w:rPr>
          <w:color w:val="auto"/>
          <w:highlight w:val="none"/>
        </w:rPr>
        <w:t>202</w:t>
      </w:r>
      <w:r>
        <w:rPr>
          <w:rFonts w:hint="eastAsia"/>
          <w:color w:val="auto"/>
          <w:highlight w:val="none"/>
          <w:lang w:val="en-US" w:eastAsia="zh-CN"/>
        </w:rPr>
        <w:t>6</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p>
    <w:p w14:paraId="79BEAEC3">
      <w:pPr>
        <w:rPr>
          <w:color w:val="auto"/>
          <w:highlight w:val="none"/>
        </w:rPr>
      </w:pPr>
    </w:p>
    <w:p w14:paraId="5D7A220D">
      <w:pPr>
        <w:widowControl/>
        <w:spacing w:line="240" w:lineRule="auto"/>
        <w:jc w:val="left"/>
        <w:rPr>
          <w:color w:val="auto"/>
          <w:highlight w:val="none"/>
        </w:rPr>
      </w:pPr>
      <w:r>
        <w:rPr>
          <w:color w:val="auto"/>
          <w:highlight w:val="none"/>
        </w:rPr>
        <w:br w:type="page"/>
      </w:r>
    </w:p>
    <w:sdt>
      <w:sdtPr>
        <w:rPr>
          <w:color w:val="auto"/>
          <w:highlight w:val="none"/>
          <w:lang w:val="zh-CN"/>
        </w:rPr>
        <w:id w:val="2055729287"/>
        <w:docPartObj>
          <w:docPartGallery w:val="Table of Contents"/>
          <w:docPartUnique/>
        </w:docPartObj>
      </w:sdtPr>
      <w:sdtEndPr>
        <w:rPr>
          <w:b/>
          <w:bCs/>
          <w:color w:val="auto"/>
          <w:highlight w:val="none"/>
          <w:lang w:val="zh-CN"/>
        </w:rPr>
      </w:sdtEndPr>
      <w:sdtContent>
        <w:p w14:paraId="3D30A37B">
          <w:pPr>
            <w:spacing w:before="480" w:after="360" w:line="240" w:lineRule="auto"/>
            <w:jc w:val="center"/>
            <w:rPr>
              <w:color w:val="auto"/>
              <w:highlight w:val="none"/>
            </w:rPr>
          </w:pPr>
          <w:r>
            <w:rPr>
              <w:rFonts w:ascii="黑体" w:hAnsi="黑体" w:eastAsia="黑体"/>
              <w:b/>
              <w:color w:val="auto"/>
              <w:sz w:val="32"/>
              <w:szCs w:val="32"/>
              <w:highlight w:val="none"/>
              <w:lang w:val="zh-CN"/>
            </w:rPr>
            <w:t>目  录</w:t>
          </w:r>
        </w:p>
        <w:p w14:paraId="67FF1495">
          <w:pPr>
            <w:pStyle w:val="10"/>
            <w:tabs>
              <w:tab w:val="right" w:leader="dot" w:pos="8958"/>
            </w:tabs>
            <w:rPr>
              <w:rFonts w:hint="eastAsia" w:ascii="宋体" w:hAnsi="宋体" w:eastAsia="宋体" w:cs="宋体"/>
              <w:color w:val="auto"/>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TOC \o "1-3" \h \z \u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_Toc1816821029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一、</w:t>
          </w:r>
          <w:r>
            <w:rPr>
              <w:rFonts w:hint="eastAsia" w:ascii="宋体" w:hAnsi="宋体" w:eastAsia="宋体" w:cs="宋体"/>
              <w:color w:val="auto"/>
              <w:highlight w:val="none"/>
              <w:lang w:val="en-US" w:eastAsia="zh-CN"/>
            </w:rPr>
            <w:t>毕业</w:t>
          </w:r>
          <w:r>
            <w:rPr>
              <w:rFonts w:hint="eastAsia" w:ascii="宋体" w:hAnsi="宋体" w:eastAsia="宋体" w:cs="宋体"/>
              <w:color w:val="auto"/>
              <w:highlight w:val="none"/>
            </w:rPr>
            <w:t>论文写作的基本要求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_Toc1816821029 \h </w:instrText>
          </w:r>
          <w:r>
            <w:rPr>
              <w:rFonts w:hint="eastAsia" w:ascii="宋体" w:hAnsi="宋体" w:eastAsia="宋体" w:cs="宋体"/>
              <w:color w:val="auto"/>
            </w:rPr>
            <w:fldChar w:fldCharType="separate"/>
          </w:r>
          <w:r>
            <w:rPr>
              <w:rFonts w:hint="eastAsia" w:ascii="宋体" w:hAnsi="宋体" w:eastAsia="宋体" w:cs="宋体"/>
              <w:color w:val="auto"/>
            </w:rPr>
            <w:t>1</w:t>
          </w:r>
          <w:r>
            <w:rPr>
              <w:rFonts w:hint="eastAsia" w:ascii="宋体" w:hAnsi="宋体" w:eastAsia="宋体" w:cs="宋体"/>
              <w:color w:val="auto"/>
            </w:rPr>
            <w:fldChar w:fldCharType="end"/>
          </w:r>
          <w:r>
            <w:rPr>
              <w:rFonts w:hint="eastAsia" w:ascii="宋体" w:hAnsi="宋体" w:eastAsia="宋体" w:cs="宋体"/>
              <w:color w:val="auto"/>
              <w:szCs w:val="24"/>
              <w:highlight w:val="none"/>
            </w:rPr>
            <w:fldChar w:fldCharType="end"/>
          </w:r>
        </w:p>
        <w:p w14:paraId="642668D1">
          <w:pPr>
            <w:pStyle w:val="10"/>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_Toc241057710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二、</w:t>
          </w:r>
          <w:r>
            <w:rPr>
              <w:rFonts w:hint="eastAsia" w:ascii="宋体" w:hAnsi="宋体" w:eastAsia="宋体" w:cs="宋体"/>
              <w:color w:val="auto"/>
              <w:highlight w:val="none"/>
              <w:lang w:val="en-US" w:eastAsia="zh-CN"/>
            </w:rPr>
            <w:t>毕业</w:t>
          </w:r>
          <w:r>
            <w:rPr>
              <w:rFonts w:hint="eastAsia" w:ascii="宋体" w:hAnsi="宋体" w:eastAsia="宋体" w:cs="宋体"/>
              <w:color w:val="auto"/>
              <w:highlight w:val="none"/>
            </w:rPr>
            <w:t>论文的引注规范</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_Toc241057710 \h </w:instrText>
          </w:r>
          <w:r>
            <w:rPr>
              <w:rFonts w:hint="eastAsia" w:ascii="宋体" w:hAnsi="宋体" w:eastAsia="宋体" w:cs="宋体"/>
              <w:color w:val="auto"/>
            </w:rPr>
            <w:fldChar w:fldCharType="separate"/>
          </w:r>
          <w:r>
            <w:rPr>
              <w:rFonts w:hint="eastAsia" w:ascii="宋体" w:hAnsi="宋体" w:eastAsia="宋体" w:cs="宋体"/>
              <w:color w:val="auto"/>
            </w:rPr>
            <w:t>3</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0EA60080">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_Toc1302773728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（一）引注规范的基本要求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_Toc1302773728 \h </w:instrText>
          </w:r>
          <w:r>
            <w:rPr>
              <w:rFonts w:hint="eastAsia" w:ascii="宋体" w:hAnsi="宋体" w:eastAsia="宋体" w:cs="宋体"/>
              <w:color w:val="auto"/>
            </w:rPr>
            <w:fldChar w:fldCharType="separate"/>
          </w:r>
          <w:r>
            <w:rPr>
              <w:rFonts w:hint="eastAsia" w:ascii="宋体" w:hAnsi="宋体" w:eastAsia="宋体" w:cs="宋体"/>
              <w:color w:val="auto"/>
            </w:rPr>
            <w:t>3</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3B6E518C">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_Toc2122265331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（二）中文引注示例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_Toc2122265331 \h </w:instrText>
          </w:r>
          <w:r>
            <w:rPr>
              <w:rFonts w:hint="eastAsia" w:ascii="宋体" w:hAnsi="宋体" w:eastAsia="宋体" w:cs="宋体"/>
              <w:color w:val="auto"/>
            </w:rPr>
            <w:fldChar w:fldCharType="separate"/>
          </w:r>
          <w:r>
            <w:rPr>
              <w:rFonts w:hint="eastAsia" w:ascii="宋体" w:hAnsi="宋体" w:eastAsia="宋体" w:cs="宋体"/>
              <w:color w:val="auto"/>
            </w:rPr>
            <w:t>3</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14A9B24D">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_Toc1357525094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（三）外文引注示例</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_Toc1357525094 \h </w:instrText>
          </w:r>
          <w:r>
            <w:rPr>
              <w:rFonts w:hint="eastAsia" w:ascii="宋体" w:hAnsi="宋体" w:eastAsia="宋体" w:cs="宋体"/>
              <w:color w:val="auto"/>
            </w:rPr>
            <w:fldChar w:fldCharType="separate"/>
          </w:r>
          <w:r>
            <w:rPr>
              <w:rFonts w:hint="eastAsia" w:ascii="宋体" w:hAnsi="宋体" w:eastAsia="宋体" w:cs="宋体"/>
              <w:color w:val="auto"/>
            </w:rPr>
            <w:t>7</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7A23E03C">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_Toc103241002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（四）参考文献的基本要求</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_Toc103241002 \h </w:instrText>
          </w:r>
          <w:r>
            <w:rPr>
              <w:rFonts w:hint="eastAsia" w:ascii="宋体" w:hAnsi="宋体" w:eastAsia="宋体" w:cs="宋体"/>
              <w:color w:val="auto"/>
            </w:rPr>
            <w:fldChar w:fldCharType="separate"/>
          </w:r>
          <w:r>
            <w:rPr>
              <w:rFonts w:hint="eastAsia" w:ascii="宋体" w:hAnsi="宋体" w:eastAsia="宋体" w:cs="宋体"/>
              <w:color w:val="auto"/>
            </w:rPr>
            <w:t>12</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4D5F2CD3">
          <w:pPr>
            <w:pStyle w:val="10"/>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_Toc4733838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三、</w:t>
          </w:r>
          <w:r>
            <w:rPr>
              <w:rFonts w:hint="eastAsia" w:ascii="宋体" w:hAnsi="宋体" w:eastAsia="宋体" w:cs="宋体"/>
              <w:color w:val="auto"/>
              <w:highlight w:val="none"/>
              <w:lang w:val="en-US" w:eastAsia="zh-CN"/>
            </w:rPr>
            <w:t>毕业</w:t>
          </w:r>
          <w:r>
            <w:rPr>
              <w:rFonts w:hint="eastAsia" w:ascii="宋体" w:hAnsi="宋体" w:eastAsia="宋体" w:cs="宋体"/>
              <w:color w:val="auto"/>
              <w:highlight w:val="none"/>
            </w:rPr>
            <w:t>论文写作中的其他注意事项</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_Toc4733838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1B1FE8D2">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_Toc104720327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（一）标点符号用法</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_Toc104720327 \h </w:instrText>
          </w:r>
          <w:r>
            <w:rPr>
              <w:rFonts w:hint="eastAsia" w:ascii="宋体" w:hAnsi="宋体" w:eastAsia="宋体" w:cs="宋体"/>
              <w:color w:val="auto"/>
            </w:rPr>
            <w:fldChar w:fldCharType="separate"/>
          </w:r>
          <w:r>
            <w:rPr>
              <w:rFonts w:hint="eastAsia" w:ascii="宋体" w:hAnsi="宋体" w:eastAsia="宋体" w:cs="宋体"/>
              <w:color w:val="auto"/>
            </w:rPr>
            <w:t>13</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4DAE6525">
          <w:pPr>
            <w:pStyle w:val="11"/>
            <w:tabs>
              <w:tab w:val="right" w:leader="dot" w:pos="8958"/>
            </w:tabs>
            <w:rPr>
              <w:rFonts w:hint="eastAsia" w:ascii="宋体" w:hAnsi="宋体" w:eastAsia="宋体" w:cs="宋体"/>
              <w:color w:val="auto"/>
            </w:rPr>
          </w:pPr>
          <w:r>
            <w:rPr>
              <w:rFonts w:hint="eastAsia" w:ascii="宋体" w:hAnsi="宋体" w:eastAsia="宋体" w:cs="宋体"/>
              <w:bCs/>
              <w:color w:val="auto"/>
              <w:szCs w:val="24"/>
              <w:highlight w:val="none"/>
              <w:lang w:val="zh-CN"/>
            </w:rPr>
            <w:fldChar w:fldCharType="begin"/>
          </w:r>
          <w:r>
            <w:rPr>
              <w:rFonts w:hint="eastAsia" w:ascii="宋体" w:hAnsi="宋体" w:eastAsia="宋体" w:cs="宋体"/>
              <w:bCs/>
              <w:color w:val="auto"/>
              <w:szCs w:val="24"/>
              <w:highlight w:val="none"/>
              <w:lang w:val="zh-CN"/>
            </w:rPr>
            <w:instrText xml:space="preserve"> HYPERLINK \l _Toc1245428996 </w:instrText>
          </w:r>
          <w:r>
            <w:rPr>
              <w:rFonts w:hint="eastAsia" w:ascii="宋体" w:hAnsi="宋体" w:eastAsia="宋体" w:cs="宋体"/>
              <w:bCs/>
              <w:color w:val="auto"/>
              <w:szCs w:val="24"/>
              <w:highlight w:val="none"/>
              <w:lang w:val="zh-CN"/>
            </w:rPr>
            <w:fldChar w:fldCharType="separate"/>
          </w:r>
          <w:r>
            <w:rPr>
              <w:rFonts w:hint="eastAsia" w:ascii="宋体" w:hAnsi="宋体" w:eastAsia="宋体" w:cs="宋体"/>
              <w:color w:val="auto"/>
              <w:highlight w:val="none"/>
            </w:rPr>
            <w:t>（二）禁用词</w:t>
          </w:r>
          <w:r>
            <w:rPr>
              <w:rFonts w:hint="eastAsia" w:ascii="宋体" w:hAnsi="宋体" w:eastAsia="宋体" w:cs="宋体"/>
              <w:color w:val="auto"/>
            </w:rPr>
            <w:tab/>
          </w:r>
          <w:r>
            <w:rPr>
              <w:rFonts w:hint="eastAsia" w:ascii="宋体" w:hAnsi="宋体" w:eastAsia="宋体" w:cs="宋体"/>
              <w:color w:val="auto"/>
            </w:rPr>
            <w:fldChar w:fldCharType="begin"/>
          </w:r>
          <w:r>
            <w:rPr>
              <w:rFonts w:hint="eastAsia" w:ascii="宋体" w:hAnsi="宋体" w:eastAsia="宋体" w:cs="宋体"/>
              <w:color w:val="auto"/>
            </w:rPr>
            <w:instrText xml:space="preserve"> PAGEREF _Toc1245428996 \h </w:instrText>
          </w:r>
          <w:r>
            <w:rPr>
              <w:rFonts w:hint="eastAsia" w:ascii="宋体" w:hAnsi="宋体" w:eastAsia="宋体" w:cs="宋体"/>
              <w:color w:val="auto"/>
            </w:rPr>
            <w:fldChar w:fldCharType="separate"/>
          </w:r>
          <w:r>
            <w:rPr>
              <w:rFonts w:hint="eastAsia" w:ascii="宋体" w:hAnsi="宋体" w:eastAsia="宋体" w:cs="宋体"/>
              <w:color w:val="auto"/>
            </w:rPr>
            <w:t>14</w:t>
          </w:r>
          <w:r>
            <w:rPr>
              <w:rFonts w:hint="eastAsia" w:ascii="宋体" w:hAnsi="宋体" w:eastAsia="宋体" w:cs="宋体"/>
              <w:color w:val="auto"/>
            </w:rPr>
            <w:fldChar w:fldCharType="end"/>
          </w:r>
          <w:r>
            <w:rPr>
              <w:rFonts w:hint="eastAsia" w:ascii="宋体" w:hAnsi="宋体" w:eastAsia="宋体" w:cs="宋体"/>
              <w:bCs/>
              <w:color w:val="auto"/>
              <w:szCs w:val="24"/>
              <w:highlight w:val="none"/>
              <w:lang w:val="zh-CN"/>
            </w:rPr>
            <w:fldChar w:fldCharType="end"/>
          </w:r>
        </w:p>
        <w:p w14:paraId="259A40B2">
          <w:pPr>
            <w:rPr>
              <w:color w:val="auto"/>
              <w:highlight w:val="none"/>
            </w:rPr>
          </w:pPr>
          <w:r>
            <w:rPr>
              <w:rFonts w:hint="eastAsia" w:ascii="宋体" w:hAnsi="宋体" w:eastAsia="宋体" w:cs="宋体"/>
              <w:bCs/>
              <w:color w:val="auto"/>
              <w:szCs w:val="24"/>
              <w:highlight w:val="none"/>
              <w:lang w:val="zh-CN"/>
            </w:rPr>
            <w:fldChar w:fldCharType="end"/>
          </w:r>
        </w:p>
      </w:sdtContent>
    </w:sdt>
    <w:p w14:paraId="1EF65B96">
      <w:pPr>
        <w:rPr>
          <w:color w:val="auto"/>
          <w:highlight w:val="none"/>
        </w:rPr>
      </w:pPr>
    </w:p>
    <w:p w14:paraId="03D0806D">
      <w:pPr>
        <w:rPr>
          <w:color w:val="auto"/>
          <w:highlight w:val="none"/>
        </w:rPr>
        <w:sectPr>
          <w:footerReference r:id="rId6" w:type="first"/>
          <w:pgSz w:w="11906" w:h="16838"/>
          <w:pgMar w:top="1701" w:right="1474" w:bottom="1418" w:left="1474" w:header="851" w:footer="992" w:gutter="0"/>
          <w:pgNumType w:fmt="upperRoman" w:start="1"/>
          <w:cols w:space="425" w:num="1"/>
          <w:titlePg/>
          <w:docGrid w:type="lines" w:linePitch="326" w:charSpace="0"/>
        </w:sectPr>
      </w:pPr>
    </w:p>
    <w:p w14:paraId="70E3557A">
      <w:pPr>
        <w:pStyle w:val="2"/>
        <w:rPr>
          <w:color w:val="auto"/>
          <w:highlight w:val="none"/>
        </w:rPr>
      </w:pPr>
      <w:bookmarkStart w:id="0" w:name="_Toc1816821029"/>
      <w:r>
        <w:rPr>
          <w:rFonts w:hint="eastAsia"/>
          <w:color w:val="auto"/>
          <w:highlight w:val="none"/>
        </w:rPr>
        <w:t>一、</w:t>
      </w:r>
      <w:r>
        <w:rPr>
          <w:rFonts w:hint="eastAsia"/>
          <w:color w:val="auto"/>
          <w:highlight w:val="none"/>
          <w:lang w:val="en-US" w:eastAsia="zh-CN"/>
        </w:rPr>
        <w:t>毕业</w:t>
      </w:r>
      <w:r>
        <w:rPr>
          <w:rFonts w:hint="eastAsia"/>
          <w:color w:val="auto"/>
          <w:highlight w:val="none"/>
        </w:rPr>
        <w:t>论文写作的基本要求</w:t>
      </w:r>
      <w:bookmarkEnd w:id="0"/>
    </w:p>
    <w:p w14:paraId="485FF8D7">
      <w:pPr>
        <w:ind w:firstLine="480" w:firstLineChars="200"/>
        <w:rPr>
          <w:color w:val="auto"/>
          <w:highlight w:val="none"/>
        </w:rPr>
      </w:pPr>
      <w:r>
        <w:rPr>
          <w:rFonts w:hint="eastAsia"/>
          <w:color w:val="auto"/>
          <w:highlight w:val="none"/>
          <w:lang w:val="en-US" w:eastAsia="zh-CN"/>
        </w:rPr>
        <w:t>毕业</w:t>
      </w:r>
      <w:r>
        <w:rPr>
          <w:rFonts w:hint="eastAsia"/>
          <w:color w:val="auto"/>
          <w:highlight w:val="none"/>
        </w:rPr>
        <w:t>论文一般应包括下述几部分：</w:t>
      </w:r>
    </w:p>
    <w:p w14:paraId="66636460">
      <w:pPr>
        <w:ind w:firstLine="482" w:firstLineChars="200"/>
        <w:rPr>
          <w:color w:val="auto"/>
          <w:highlight w:val="none"/>
        </w:rPr>
      </w:pPr>
      <w:r>
        <w:rPr>
          <w:b/>
          <w:color w:val="auto"/>
          <w:highlight w:val="none"/>
        </w:rPr>
        <w:t xml:space="preserve">1. </w:t>
      </w:r>
      <w:r>
        <w:rPr>
          <w:rFonts w:hint="eastAsia"/>
          <w:b/>
          <w:color w:val="auto"/>
          <w:highlight w:val="none"/>
        </w:rPr>
        <w:t>封面：</w:t>
      </w:r>
      <w:r>
        <w:rPr>
          <w:rFonts w:hint="eastAsia"/>
          <w:color w:val="auto"/>
          <w:highlight w:val="none"/>
        </w:rPr>
        <w:t>封面格式请参照《北京大学</w:t>
      </w:r>
      <w:r>
        <w:rPr>
          <w:rFonts w:hint="eastAsia"/>
          <w:color w:val="auto"/>
          <w:highlight w:val="none"/>
          <w:lang w:val="en-US" w:eastAsia="zh-CN"/>
        </w:rPr>
        <w:t>法学院本科生毕业</w:t>
      </w:r>
      <w:r>
        <w:rPr>
          <w:rFonts w:hint="eastAsia"/>
          <w:color w:val="auto"/>
          <w:highlight w:val="none"/>
        </w:rPr>
        <w:t>论文</w:t>
      </w:r>
      <w:r>
        <w:rPr>
          <w:rFonts w:hint="eastAsia"/>
          <w:color w:val="auto"/>
          <w:highlight w:val="none"/>
          <w:lang w:val="en-US" w:eastAsia="zh-CN"/>
        </w:rPr>
        <w:t>模板</w:t>
      </w:r>
      <w:r>
        <w:rPr>
          <w:rFonts w:hint="eastAsia"/>
          <w:color w:val="auto"/>
          <w:highlight w:val="none"/>
        </w:rPr>
        <w:t>》。</w:t>
      </w:r>
    </w:p>
    <w:p w14:paraId="73584FA1">
      <w:pPr>
        <w:ind w:firstLine="482" w:firstLineChars="200"/>
        <w:rPr>
          <w:rFonts w:hint="default" w:eastAsia="宋体"/>
          <w:color w:val="auto"/>
          <w:highlight w:val="none"/>
          <w:lang w:val="en-US" w:eastAsia="zh-CN"/>
        </w:rPr>
      </w:pPr>
      <w:r>
        <w:rPr>
          <w:b/>
          <w:color w:val="auto"/>
          <w:highlight w:val="none"/>
        </w:rPr>
        <w:t>2.</w:t>
      </w:r>
      <w:r>
        <w:rPr>
          <w:rFonts w:hint="eastAsia"/>
          <w:b/>
          <w:color w:val="auto"/>
          <w:highlight w:val="none"/>
          <w:lang w:val="en-US" w:eastAsia="zh-CN"/>
        </w:rPr>
        <w:t xml:space="preserve"> </w:t>
      </w:r>
      <w:r>
        <w:rPr>
          <w:rFonts w:hint="eastAsia"/>
          <w:b/>
          <w:color w:val="auto"/>
          <w:highlight w:val="none"/>
        </w:rPr>
        <w:t>题目：</w:t>
      </w:r>
      <w:r>
        <w:rPr>
          <w:rFonts w:hint="eastAsia"/>
          <w:color w:val="auto"/>
          <w:highlight w:val="none"/>
        </w:rPr>
        <w:t>应准确概括整</w:t>
      </w:r>
      <w:r>
        <w:rPr>
          <w:rFonts w:hint="eastAsia"/>
          <w:color w:val="auto"/>
          <w:highlight w:val="none"/>
          <w:lang w:val="en-US" w:eastAsia="zh-CN"/>
        </w:rPr>
        <w:t>篇</w:t>
      </w:r>
      <w:r>
        <w:rPr>
          <w:rFonts w:hint="eastAsia"/>
          <w:color w:val="auto"/>
          <w:highlight w:val="none"/>
        </w:rPr>
        <w:t>论文的核心内容，简明扼要，让人一目了然。一般不宜超过</w:t>
      </w:r>
      <w:r>
        <w:rPr>
          <w:color w:val="auto"/>
          <w:highlight w:val="none"/>
        </w:rPr>
        <w:t>20</w:t>
      </w:r>
      <w:r>
        <w:rPr>
          <w:rFonts w:hint="eastAsia"/>
          <w:color w:val="auto"/>
          <w:highlight w:val="none"/>
        </w:rPr>
        <w:t>个字。</w:t>
      </w:r>
      <w:r>
        <w:rPr>
          <w:rFonts w:hint="eastAsia"/>
          <w:color w:val="auto"/>
          <w:highlight w:val="none"/>
          <w:lang w:val="en-US" w:eastAsia="zh-CN"/>
        </w:rPr>
        <w:t>英文题目内容应与中文题目相同。</w:t>
      </w:r>
    </w:p>
    <w:p w14:paraId="6D672C90">
      <w:pPr>
        <w:ind w:firstLine="482" w:firstLineChars="200"/>
        <w:rPr>
          <w:color w:val="auto"/>
          <w:highlight w:val="none"/>
        </w:rPr>
      </w:pPr>
      <w:r>
        <w:rPr>
          <w:rFonts w:hint="eastAsia"/>
          <w:b/>
          <w:color w:val="auto"/>
          <w:highlight w:val="none"/>
          <w:lang w:val="en-US" w:eastAsia="zh-CN"/>
        </w:rPr>
        <w:t>3</w:t>
      </w:r>
      <w:r>
        <w:rPr>
          <w:b/>
          <w:color w:val="auto"/>
          <w:highlight w:val="none"/>
        </w:rPr>
        <w:t xml:space="preserve">. </w:t>
      </w:r>
      <w:r>
        <w:rPr>
          <w:rFonts w:hint="eastAsia"/>
          <w:b/>
          <w:color w:val="auto"/>
          <w:highlight w:val="none"/>
        </w:rPr>
        <w:t>中文摘要及关键词：</w:t>
      </w:r>
      <w:r>
        <w:rPr>
          <w:rFonts w:hint="eastAsia"/>
          <w:color w:val="auto"/>
          <w:highlight w:val="none"/>
        </w:rPr>
        <w:t>摘要应客观反映文章核心内容，言之有物、连贯顺畅、独立成篇。摘要可以摘录文中字句，但不宜大段重复论文段落。摘要不使用第一人称（如“我”“本文”“笔者”“作者”等）。一般情况下，摘要建议不超过</w:t>
      </w:r>
      <w:r>
        <w:rPr>
          <w:rFonts w:hint="eastAsia"/>
          <w:color w:val="auto"/>
          <w:highlight w:val="none"/>
          <w:lang w:val="en-US" w:eastAsia="zh-CN"/>
        </w:rPr>
        <w:t>500</w:t>
      </w:r>
      <w:r>
        <w:rPr>
          <w:rFonts w:hint="eastAsia"/>
          <w:color w:val="auto"/>
          <w:highlight w:val="none"/>
        </w:rPr>
        <w:t>字。关键词在摘要页的最下方另起一行注明，数量应为</w:t>
      </w:r>
      <w:r>
        <w:rPr>
          <w:color w:val="auto"/>
          <w:highlight w:val="none"/>
        </w:rPr>
        <w:t>3-5</w:t>
      </w:r>
      <w:r>
        <w:rPr>
          <w:rFonts w:hint="eastAsia"/>
          <w:color w:val="auto"/>
          <w:highlight w:val="none"/>
        </w:rPr>
        <w:t>个。</w:t>
      </w:r>
    </w:p>
    <w:p w14:paraId="1532297B">
      <w:pPr>
        <w:ind w:firstLine="482" w:firstLineChars="200"/>
        <w:rPr>
          <w:color w:val="auto"/>
          <w:highlight w:val="none"/>
        </w:rPr>
      </w:pPr>
      <w:r>
        <w:rPr>
          <w:rFonts w:hint="eastAsia"/>
          <w:b/>
          <w:color w:val="auto"/>
          <w:highlight w:val="none"/>
          <w:lang w:val="en-US" w:eastAsia="zh-CN"/>
        </w:rPr>
        <w:t>4</w:t>
      </w:r>
      <w:r>
        <w:rPr>
          <w:b/>
          <w:color w:val="auto"/>
          <w:highlight w:val="none"/>
        </w:rPr>
        <w:t xml:space="preserve">. </w:t>
      </w:r>
      <w:r>
        <w:rPr>
          <w:rFonts w:hint="eastAsia"/>
          <w:b/>
          <w:color w:val="auto"/>
          <w:highlight w:val="none"/>
        </w:rPr>
        <w:t>英文摘要及关键词：</w:t>
      </w:r>
      <w:r>
        <w:rPr>
          <w:rFonts w:hint="eastAsia"/>
          <w:color w:val="auto"/>
          <w:highlight w:val="none"/>
        </w:rPr>
        <w:t>英文摘要内容与中文摘要相同。英文关键词应与中文关键词一一对应。</w:t>
      </w:r>
    </w:p>
    <w:p w14:paraId="4DF87AF6">
      <w:pPr>
        <w:ind w:firstLine="482" w:firstLineChars="200"/>
        <w:rPr>
          <w:color w:val="auto"/>
          <w:highlight w:val="none"/>
        </w:rPr>
      </w:pPr>
      <w:r>
        <w:rPr>
          <w:rFonts w:hint="eastAsia"/>
          <w:b/>
          <w:color w:val="auto"/>
          <w:highlight w:val="none"/>
          <w:lang w:val="en-US" w:eastAsia="zh-CN"/>
        </w:rPr>
        <w:t>5</w:t>
      </w:r>
      <w:r>
        <w:rPr>
          <w:b/>
          <w:color w:val="auto"/>
          <w:highlight w:val="none"/>
        </w:rPr>
        <w:t xml:space="preserve">. </w:t>
      </w:r>
      <w:r>
        <w:rPr>
          <w:rFonts w:hint="eastAsia"/>
          <w:b/>
          <w:color w:val="auto"/>
          <w:highlight w:val="none"/>
        </w:rPr>
        <w:t>目录</w:t>
      </w:r>
      <w:r>
        <w:rPr>
          <w:rFonts w:hint="eastAsia"/>
          <w:color w:val="auto"/>
          <w:highlight w:val="none"/>
        </w:rPr>
        <w:t>：目录应覆盖至文章的三级标题。</w:t>
      </w:r>
    </w:p>
    <w:p w14:paraId="387DFBE4">
      <w:pPr>
        <w:ind w:firstLine="482" w:firstLineChars="200"/>
        <w:rPr>
          <w:color w:val="auto"/>
          <w:highlight w:val="none"/>
        </w:rPr>
      </w:pPr>
      <w:r>
        <w:rPr>
          <w:rFonts w:hint="eastAsia"/>
          <w:b/>
          <w:color w:val="auto"/>
          <w:highlight w:val="none"/>
          <w:lang w:val="en-US" w:eastAsia="zh-CN"/>
        </w:rPr>
        <w:t>6</w:t>
      </w:r>
      <w:r>
        <w:rPr>
          <w:b/>
          <w:color w:val="auto"/>
          <w:highlight w:val="none"/>
        </w:rPr>
        <w:t xml:space="preserve">. </w:t>
      </w:r>
      <w:r>
        <w:rPr>
          <w:rFonts w:hint="eastAsia"/>
          <w:b/>
          <w:color w:val="auto"/>
          <w:highlight w:val="none"/>
        </w:rPr>
        <w:t>引言：</w:t>
      </w:r>
      <w:r>
        <w:rPr>
          <w:rFonts w:hint="eastAsia"/>
          <w:color w:val="auto"/>
          <w:highlight w:val="none"/>
        </w:rPr>
        <w:t>内容应包括本课题对学术发展、经济建设、社会进步的理论意义和现实意义，国内外相关研究成果述评，本论文所要解决的问题，论文运用的主要理论和方法、基本思路和论文结构等。在结构上可以包括：</w:t>
      </w:r>
      <w:r>
        <w:rPr>
          <w:rFonts w:hint="eastAsia" w:ascii="宋体" w:hAnsi="宋体" w:cs="宋体"/>
          <w:color w:val="auto"/>
          <w:highlight w:val="none"/>
        </w:rPr>
        <w:t>①</w:t>
      </w:r>
      <w:r>
        <w:rPr>
          <w:rFonts w:hint="eastAsia" w:cs="Times New Roman"/>
          <w:color w:val="auto"/>
          <w:highlight w:val="none"/>
          <w:lang w:val="en-US" w:eastAsia="zh-CN"/>
        </w:rPr>
        <w:t>研究问题、</w:t>
      </w:r>
      <w:r>
        <w:rPr>
          <w:rFonts w:hint="eastAsia" w:cs="Times New Roman"/>
          <w:color w:val="auto"/>
          <w:highlight w:val="none"/>
        </w:rPr>
        <w:t>选题背景及意义</w:t>
      </w:r>
      <w:r>
        <w:rPr>
          <w:rFonts w:hint="eastAsia" w:cs="Times New Roman"/>
          <w:color w:val="auto"/>
          <w:highlight w:val="none"/>
          <w:lang w:eastAsia="zh-CN"/>
        </w:rPr>
        <w:t>、</w:t>
      </w:r>
      <w:r>
        <w:rPr>
          <w:rFonts w:hint="eastAsia" w:cs="Times New Roman"/>
          <w:color w:val="auto"/>
          <w:highlight w:val="none"/>
        </w:rPr>
        <w:t>；</w:t>
      </w:r>
      <w:r>
        <w:rPr>
          <w:rFonts w:hint="eastAsia" w:ascii="宋体" w:hAnsi="宋体" w:cs="宋体"/>
          <w:color w:val="auto"/>
          <w:highlight w:val="none"/>
        </w:rPr>
        <w:t>②</w:t>
      </w:r>
      <w:r>
        <w:rPr>
          <w:rFonts w:hint="eastAsia" w:cs="Times New Roman"/>
          <w:color w:val="auto"/>
          <w:highlight w:val="none"/>
        </w:rPr>
        <w:t>文献综述；</w:t>
      </w:r>
      <w:r>
        <w:rPr>
          <w:rFonts w:hint="eastAsia" w:ascii="宋体" w:hAnsi="宋体" w:cs="宋体"/>
          <w:color w:val="auto"/>
          <w:highlight w:val="none"/>
        </w:rPr>
        <w:t>③</w:t>
      </w:r>
      <w:r>
        <w:rPr>
          <w:rFonts w:hint="eastAsia" w:cs="Times New Roman"/>
          <w:color w:val="auto"/>
          <w:highlight w:val="none"/>
        </w:rPr>
        <w:t>研究方法；</w:t>
      </w:r>
      <w:r>
        <w:rPr>
          <w:rFonts w:hint="eastAsia" w:ascii="宋体" w:hAnsi="宋体" w:cs="宋体"/>
          <w:color w:val="auto"/>
          <w:highlight w:val="none"/>
        </w:rPr>
        <w:t>④</w:t>
      </w:r>
      <w:r>
        <w:rPr>
          <w:rFonts w:hint="eastAsia" w:cs="Times New Roman"/>
          <w:color w:val="auto"/>
          <w:highlight w:val="none"/>
        </w:rPr>
        <w:t>论文结构安排。</w:t>
      </w:r>
    </w:p>
    <w:p w14:paraId="285FED99">
      <w:pPr>
        <w:ind w:firstLine="482" w:firstLineChars="200"/>
        <w:rPr>
          <w:color w:val="auto"/>
          <w:highlight w:val="none"/>
        </w:rPr>
      </w:pPr>
      <w:r>
        <w:rPr>
          <w:rFonts w:hint="eastAsia"/>
          <w:b/>
          <w:color w:val="auto"/>
          <w:highlight w:val="none"/>
          <w:lang w:val="en-US" w:eastAsia="zh-CN"/>
        </w:rPr>
        <w:t>7</w:t>
      </w:r>
      <w:r>
        <w:rPr>
          <w:b/>
          <w:color w:val="auto"/>
          <w:highlight w:val="none"/>
        </w:rPr>
        <w:t xml:space="preserve">. </w:t>
      </w:r>
      <w:r>
        <w:rPr>
          <w:rFonts w:hint="eastAsia"/>
          <w:b/>
          <w:color w:val="auto"/>
          <w:highlight w:val="none"/>
        </w:rPr>
        <w:t>正文：</w:t>
      </w:r>
      <w:r>
        <w:rPr>
          <w:rFonts w:hint="eastAsia"/>
          <w:color w:val="auto"/>
          <w:highlight w:val="none"/>
        </w:rPr>
        <w:t>论文的主体。应逻辑顺畅、言之成理、论据可靠</w:t>
      </w:r>
      <w:r>
        <w:rPr>
          <w:rFonts w:hint="eastAsia"/>
          <w:color w:val="auto"/>
          <w:highlight w:val="none"/>
          <w:lang w:eastAsia="zh-CN"/>
        </w:rPr>
        <w:t>，</w:t>
      </w:r>
      <w:r>
        <w:rPr>
          <w:rFonts w:hint="eastAsia"/>
          <w:color w:val="auto"/>
          <w:highlight w:val="none"/>
          <w:lang w:val="en-US" w:eastAsia="zh-CN"/>
        </w:rPr>
        <w:t>并按照本规定第二部分添加注释</w:t>
      </w:r>
      <w:r>
        <w:rPr>
          <w:rFonts w:hint="eastAsia"/>
          <w:color w:val="auto"/>
          <w:highlight w:val="none"/>
        </w:rPr>
        <w:t>。</w:t>
      </w:r>
    </w:p>
    <w:p w14:paraId="1C55739A">
      <w:pPr>
        <w:ind w:firstLine="480" w:firstLineChars="200"/>
        <w:rPr>
          <w:color w:val="auto"/>
          <w:highlight w:val="none"/>
        </w:rPr>
      </w:pPr>
      <w:r>
        <w:rPr>
          <w:rFonts w:hint="eastAsia"/>
          <w:color w:val="auto"/>
          <w:highlight w:val="none"/>
        </w:rPr>
        <w:t>正文中的各级标题、章节序号请按照以下方式处理：</w:t>
      </w:r>
    </w:p>
    <w:p w14:paraId="4DB01D11">
      <w:pPr>
        <w:widowControl/>
        <w:shd w:val="clear" w:color="auto" w:fill="FFFFFF"/>
        <w:spacing w:line="420" w:lineRule="atLeast"/>
        <w:jc w:val="left"/>
        <w:rPr>
          <w:rFonts w:ascii="宋体" w:hAnsi="宋体" w:cs="宋体"/>
          <w:color w:val="auto"/>
          <w:kern w:val="0"/>
          <w:szCs w:val="21"/>
          <w:highlight w:val="none"/>
        </w:rPr>
      </w:pPr>
      <w:r>
        <w:rPr>
          <w:rFonts w:hint="eastAsia"/>
          <w:color w:val="auto"/>
          <w:highlight w:val="none"/>
        </w:rPr>
        <w:t xml:space="preserve"> </w:t>
      </w:r>
      <w:r>
        <w:rPr>
          <w:color w:val="auto"/>
          <w:highlight w:val="none"/>
        </w:rPr>
        <w:t xml:space="preserve">   </w:t>
      </w:r>
      <w:r>
        <w:rPr>
          <w:rFonts w:hint="eastAsia"/>
          <w:color w:val="auto"/>
          <w:highlight w:val="none"/>
          <w:lang w:val="en-US" w:eastAsia="zh-CN"/>
        </w:rPr>
        <w:t>第一，</w:t>
      </w:r>
      <w:r>
        <w:rPr>
          <w:rFonts w:hint="eastAsia"/>
          <w:color w:val="auto"/>
          <w:highlight w:val="none"/>
        </w:rPr>
        <w:t>一级标题使用“一、”，二级标题使用“（一）”，三级标题使用“</w:t>
      </w:r>
      <w:r>
        <w:rPr>
          <w:color w:val="auto"/>
          <w:highlight w:val="none"/>
        </w:rPr>
        <w:t>1.</w:t>
      </w:r>
      <w:r>
        <w:rPr>
          <w:rFonts w:hint="eastAsia"/>
          <w:color w:val="auto"/>
          <w:highlight w:val="none"/>
        </w:rPr>
        <w:t>”，不建议使用三级以下的节标题。</w:t>
      </w:r>
      <w:r>
        <w:rPr>
          <w:rFonts w:hint="eastAsia" w:ascii="宋体" w:hAnsi="宋体" w:cs="宋体"/>
          <w:color w:val="auto"/>
          <w:kern w:val="0"/>
          <w:szCs w:val="21"/>
          <w:highlight w:val="none"/>
        </w:rPr>
        <w:t>不使用“第一章”、“第一节”、“</w:t>
      </w:r>
      <w:r>
        <w:rPr>
          <w:rFonts w:ascii="宋体" w:hAnsi="宋体" w:cs="宋体"/>
          <w:color w:val="auto"/>
          <w:kern w:val="0"/>
          <w:szCs w:val="21"/>
          <w:highlight w:val="none"/>
        </w:rPr>
        <w:t>1.1”、“1.1.1”、“1.1.1”等章节序号；</w:t>
      </w:r>
    </w:p>
    <w:p w14:paraId="7B82AFB1">
      <w:pPr>
        <w:widowControl/>
        <w:shd w:val="clear" w:color="auto" w:fill="FFFFFF"/>
        <w:spacing w:line="420" w:lineRule="atLeast"/>
        <w:ind w:firstLine="480" w:firstLineChars="200"/>
        <w:jc w:val="left"/>
        <w:rPr>
          <w:color w:val="auto"/>
          <w:highlight w:val="none"/>
        </w:rPr>
      </w:pPr>
      <w:r>
        <w:rPr>
          <w:rFonts w:hint="eastAsia" w:ascii="宋体" w:hAnsi="宋体" w:cs="宋体"/>
          <w:color w:val="auto"/>
          <w:kern w:val="0"/>
          <w:szCs w:val="21"/>
          <w:highlight w:val="none"/>
          <w:lang w:val="en-US" w:eastAsia="zh-CN"/>
        </w:rPr>
        <w:t>第二，</w:t>
      </w:r>
      <w:r>
        <w:rPr>
          <w:rFonts w:hint="eastAsia" w:ascii="宋体" w:hAnsi="宋体" w:cs="宋体"/>
          <w:color w:val="auto"/>
          <w:kern w:val="0"/>
          <w:szCs w:val="21"/>
          <w:highlight w:val="none"/>
        </w:rPr>
        <w:t>“</w:t>
      </w:r>
      <w:r>
        <w:rPr>
          <w:rFonts w:hint="eastAsia" w:ascii="宋体" w:hAnsi="宋体" w:cs="宋体"/>
          <w:color w:val="auto"/>
          <w:kern w:val="0"/>
          <w:szCs w:val="21"/>
          <w:highlight w:val="none"/>
          <w:lang w:val="en-US" w:eastAsia="zh-CN"/>
        </w:rPr>
        <w:t>引言</w:t>
      </w:r>
      <w:r>
        <w:rPr>
          <w:rFonts w:hint="eastAsia" w:ascii="宋体" w:hAnsi="宋体" w:cs="宋体"/>
          <w:color w:val="auto"/>
          <w:kern w:val="0"/>
          <w:szCs w:val="21"/>
          <w:highlight w:val="none"/>
        </w:rPr>
        <w:t>”、“结论”部分不使用章节序号</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正文至少分成三个部分，一般不超过六个部分，章节序号如下：</w:t>
      </w:r>
    </w:p>
    <w:p w14:paraId="51839C9F">
      <w:pPr>
        <w:widowControl/>
        <w:shd w:val="clear" w:color="auto" w:fill="FFFFFF"/>
        <w:spacing w:line="420" w:lineRule="atLeast"/>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1）第一层次：“一、” </w:t>
      </w:r>
      <w:r>
        <w:rPr>
          <w:rFonts w:hint="eastAsia" w:ascii="宋体" w:hAnsi="宋体" w:cs="宋体"/>
          <w:color w:val="auto"/>
          <w:kern w:val="0"/>
          <w:szCs w:val="21"/>
          <w:highlight w:val="none"/>
        </w:rPr>
        <w:t>“二、”</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“三、”</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“四、”等；</w:t>
      </w:r>
    </w:p>
    <w:p w14:paraId="50E970C5">
      <w:pPr>
        <w:widowControl/>
        <w:shd w:val="clear" w:color="auto" w:fill="FFFFFF"/>
        <w:spacing w:line="420" w:lineRule="atLeast"/>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2）第二层次：“（一）” </w:t>
      </w:r>
      <w:r>
        <w:rPr>
          <w:rFonts w:hint="eastAsia" w:ascii="宋体" w:hAnsi="宋体" w:cs="宋体"/>
          <w:color w:val="auto"/>
          <w:kern w:val="0"/>
          <w:szCs w:val="21"/>
          <w:highlight w:val="none"/>
        </w:rPr>
        <w:t>“（二）”</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“（三）”</w:t>
      </w:r>
      <w:r>
        <w:rPr>
          <w:rFonts w:ascii="宋体" w:hAnsi="宋体" w:cs="宋体"/>
          <w:color w:val="auto"/>
          <w:kern w:val="0"/>
          <w:szCs w:val="21"/>
          <w:highlight w:val="none"/>
        </w:rPr>
        <w:t xml:space="preserve"> </w:t>
      </w:r>
      <w:r>
        <w:rPr>
          <w:rFonts w:hint="eastAsia" w:ascii="宋体" w:hAnsi="宋体" w:cs="宋体"/>
          <w:color w:val="auto"/>
          <w:kern w:val="0"/>
          <w:szCs w:val="21"/>
          <w:highlight w:val="none"/>
        </w:rPr>
        <w:t>“（四）”等；</w:t>
      </w:r>
    </w:p>
    <w:p w14:paraId="7CC10D80">
      <w:pPr>
        <w:widowControl/>
        <w:shd w:val="clear" w:color="auto" w:fill="FFFFFF"/>
        <w:spacing w:line="420" w:lineRule="atLeast"/>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3）第三层次：“1.” </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2.” </w:t>
      </w:r>
      <w:r>
        <w:rPr>
          <w:rFonts w:hint="eastAsia" w:ascii="宋体" w:hAnsi="宋体" w:cs="宋体"/>
          <w:color w:val="auto"/>
          <w:kern w:val="0"/>
          <w:szCs w:val="21"/>
          <w:highlight w:val="none"/>
        </w:rPr>
        <w:t>“</w:t>
      </w:r>
      <w:r>
        <w:rPr>
          <w:rFonts w:ascii="宋体" w:hAnsi="宋体" w:cs="宋体"/>
          <w:color w:val="auto"/>
          <w:kern w:val="0"/>
          <w:szCs w:val="21"/>
          <w:highlight w:val="none"/>
        </w:rPr>
        <w:t xml:space="preserve">3.” </w:t>
      </w:r>
      <w:r>
        <w:rPr>
          <w:rFonts w:hint="eastAsia" w:ascii="宋体" w:hAnsi="宋体" w:cs="宋体"/>
          <w:color w:val="auto"/>
          <w:kern w:val="0"/>
          <w:szCs w:val="21"/>
          <w:highlight w:val="none"/>
        </w:rPr>
        <w:t>“</w:t>
      </w:r>
      <w:r>
        <w:rPr>
          <w:rFonts w:ascii="宋体" w:hAnsi="宋体" w:cs="宋体"/>
          <w:color w:val="auto"/>
          <w:kern w:val="0"/>
          <w:szCs w:val="21"/>
          <w:highlight w:val="none"/>
        </w:rPr>
        <w:t>4.”等；</w:t>
      </w:r>
    </w:p>
    <w:p w14:paraId="093A6712">
      <w:pPr>
        <w:widowControl/>
        <w:shd w:val="clear" w:color="auto" w:fill="FFFFFF"/>
        <w:spacing w:line="420" w:lineRule="atLeast"/>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r>
        <w:rPr>
          <w:rFonts w:hint="eastAsia" w:ascii="宋体" w:hAnsi="宋体" w:cs="宋体"/>
          <w:color w:val="auto"/>
          <w:kern w:val="0"/>
          <w:szCs w:val="21"/>
          <w:highlight w:val="none"/>
        </w:rPr>
        <w:t>（</w:t>
      </w:r>
      <w:r>
        <w:rPr>
          <w:rFonts w:ascii="宋体" w:hAnsi="宋体" w:cs="宋体"/>
          <w:color w:val="auto"/>
          <w:kern w:val="0"/>
          <w:szCs w:val="21"/>
          <w:highlight w:val="none"/>
        </w:rPr>
        <w:t>4）再往下的层次，可以用“首先，其次，再次，最后，”、“第一，第二，第三，”、“其一，其二，其三，”等层次性连接词；尽量不使用（1）、①、英文字母或者罗马字符。</w:t>
      </w:r>
    </w:p>
    <w:p w14:paraId="65DD2B6D">
      <w:pPr>
        <w:ind w:firstLine="482" w:firstLineChars="200"/>
        <w:rPr>
          <w:color w:val="auto"/>
          <w:highlight w:val="none"/>
        </w:rPr>
      </w:pPr>
      <w:r>
        <w:rPr>
          <w:rFonts w:hint="eastAsia"/>
          <w:b/>
          <w:color w:val="auto"/>
          <w:highlight w:val="none"/>
          <w:lang w:val="en-US" w:eastAsia="zh-CN"/>
        </w:rPr>
        <w:t>8</w:t>
      </w:r>
      <w:r>
        <w:rPr>
          <w:b/>
          <w:color w:val="auto"/>
          <w:highlight w:val="none"/>
        </w:rPr>
        <w:t xml:space="preserve">. </w:t>
      </w:r>
      <w:r>
        <w:rPr>
          <w:rFonts w:hint="eastAsia"/>
          <w:b/>
          <w:color w:val="auto"/>
          <w:highlight w:val="none"/>
        </w:rPr>
        <w:t>结论：</w:t>
      </w:r>
      <w:r>
        <w:rPr>
          <w:rFonts w:hint="eastAsia"/>
          <w:color w:val="auto"/>
          <w:highlight w:val="none"/>
        </w:rPr>
        <w:t>论文结论要明确、精炼、完整、准确，突出自己的创造性成果或新见解。应严格区分本人研究成果与他人科研成果的界限。</w:t>
      </w:r>
    </w:p>
    <w:p w14:paraId="1EFDE9CF">
      <w:pPr>
        <w:ind w:firstLine="482" w:firstLineChars="200"/>
        <w:rPr>
          <w:color w:val="auto"/>
          <w:highlight w:val="none"/>
        </w:rPr>
      </w:pPr>
      <w:r>
        <w:rPr>
          <w:rFonts w:hint="eastAsia"/>
          <w:b/>
          <w:color w:val="auto"/>
          <w:highlight w:val="none"/>
          <w:lang w:val="en-US" w:eastAsia="zh-CN"/>
        </w:rPr>
        <w:t>9</w:t>
      </w:r>
      <w:r>
        <w:rPr>
          <w:b/>
          <w:color w:val="auto"/>
          <w:highlight w:val="none"/>
        </w:rPr>
        <w:t xml:space="preserve">. </w:t>
      </w:r>
      <w:r>
        <w:rPr>
          <w:rFonts w:hint="eastAsia"/>
          <w:b/>
          <w:color w:val="auto"/>
          <w:highlight w:val="none"/>
        </w:rPr>
        <w:t>参考文献：</w:t>
      </w:r>
      <w:r>
        <w:rPr>
          <w:rFonts w:hint="eastAsia"/>
          <w:color w:val="auto"/>
          <w:highlight w:val="none"/>
        </w:rPr>
        <w:t>参考文献的基本要求参见下文。</w:t>
      </w:r>
    </w:p>
    <w:p w14:paraId="7DC46402">
      <w:pPr>
        <w:ind w:firstLine="482" w:firstLineChars="200"/>
        <w:rPr>
          <w:color w:val="auto"/>
          <w:highlight w:val="none"/>
        </w:rPr>
      </w:pPr>
      <w:r>
        <w:rPr>
          <w:b/>
          <w:color w:val="auto"/>
          <w:highlight w:val="none"/>
        </w:rPr>
        <w:t>1</w:t>
      </w:r>
      <w:r>
        <w:rPr>
          <w:rFonts w:hint="eastAsia"/>
          <w:b/>
          <w:color w:val="auto"/>
          <w:highlight w:val="none"/>
          <w:lang w:val="en-US" w:eastAsia="zh-CN"/>
        </w:rPr>
        <w:t>0</w:t>
      </w:r>
      <w:r>
        <w:rPr>
          <w:b/>
          <w:color w:val="auto"/>
          <w:highlight w:val="none"/>
        </w:rPr>
        <w:t xml:space="preserve">. </w:t>
      </w:r>
      <w:r>
        <w:rPr>
          <w:rFonts w:hint="eastAsia"/>
          <w:b/>
          <w:color w:val="auto"/>
          <w:highlight w:val="none"/>
        </w:rPr>
        <w:t>附录：</w:t>
      </w:r>
      <w:r>
        <w:rPr>
          <w:rFonts w:hint="eastAsia"/>
          <w:color w:val="auto"/>
          <w:highlight w:val="none"/>
        </w:rPr>
        <w:t>包括正文内不便列入的公式推导，便于读者加深理解的辅助性数据和图表，论文使用的符号意义，缩略语，程序全文和有关说明，其它对正文的必要补充等。</w:t>
      </w:r>
    </w:p>
    <w:p w14:paraId="0E57C779">
      <w:pPr>
        <w:ind w:firstLine="482" w:firstLineChars="200"/>
        <w:rPr>
          <w:b/>
          <w:color w:val="auto"/>
          <w:highlight w:val="none"/>
        </w:rPr>
      </w:pPr>
      <w:r>
        <w:rPr>
          <w:b/>
          <w:color w:val="auto"/>
          <w:highlight w:val="none"/>
        </w:rPr>
        <w:t>1</w:t>
      </w:r>
      <w:r>
        <w:rPr>
          <w:rFonts w:hint="eastAsia"/>
          <w:b/>
          <w:color w:val="auto"/>
          <w:highlight w:val="none"/>
          <w:lang w:val="en-US" w:eastAsia="zh-CN"/>
        </w:rPr>
        <w:t>1</w:t>
      </w:r>
      <w:r>
        <w:rPr>
          <w:b/>
          <w:color w:val="auto"/>
          <w:highlight w:val="none"/>
        </w:rPr>
        <w:t xml:space="preserve">. </w:t>
      </w:r>
      <w:r>
        <w:rPr>
          <w:rFonts w:hint="eastAsia"/>
          <w:b/>
          <w:color w:val="auto"/>
          <w:highlight w:val="none"/>
        </w:rPr>
        <w:t>作者的致谢、后记</w:t>
      </w:r>
      <w:r>
        <w:rPr>
          <w:rFonts w:hint="eastAsia"/>
          <w:b/>
          <w:color w:val="auto"/>
          <w:highlight w:val="none"/>
          <w:lang w:eastAsia="zh-CN"/>
        </w:rPr>
        <w:t>、</w:t>
      </w:r>
      <w:r>
        <w:rPr>
          <w:rFonts w:hint="eastAsia"/>
          <w:b/>
          <w:color w:val="auto"/>
          <w:highlight w:val="none"/>
        </w:rPr>
        <w:t>说明等</w:t>
      </w:r>
      <w:r>
        <w:rPr>
          <w:rFonts w:hint="eastAsia"/>
          <w:b/>
          <w:color w:val="auto"/>
          <w:highlight w:val="none"/>
          <w:lang w:eastAsia="zh-CN"/>
        </w:rPr>
        <w:t>（</w:t>
      </w:r>
      <w:r>
        <w:rPr>
          <w:rFonts w:hint="eastAsia"/>
          <w:b/>
          <w:color w:val="auto"/>
          <w:highlight w:val="none"/>
          <w:lang w:val="en-US" w:eastAsia="zh-CN"/>
        </w:rPr>
        <w:t>可选</w:t>
      </w:r>
      <w:r>
        <w:rPr>
          <w:rFonts w:hint="eastAsia"/>
          <w:b/>
          <w:color w:val="auto"/>
          <w:highlight w:val="none"/>
          <w:lang w:eastAsia="zh-CN"/>
        </w:rPr>
        <w:t>）</w:t>
      </w:r>
      <w:r>
        <w:rPr>
          <w:rFonts w:hint="eastAsia"/>
          <w:b/>
          <w:color w:val="auto"/>
          <w:highlight w:val="none"/>
        </w:rPr>
        <w:t>。</w:t>
      </w:r>
    </w:p>
    <w:p w14:paraId="38623D23">
      <w:pPr>
        <w:ind w:firstLine="482" w:firstLineChars="200"/>
        <w:rPr>
          <w:color w:val="auto"/>
          <w:highlight w:val="none"/>
        </w:rPr>
      </w:pPr>
      <w:r>
        <w:rPr>
          <w:b/>
          <w:color w:val="auto"/>
          <w:highlight w:val="none"/>
        </w:rPr>
        <w:t>1</w:t>
      </w:r>
      <w:r>
        <w:rPr>
          <w:rFonts w:hint="eastAsia"/>
          <w:b/>
          <w:color w:val="auto"/>
          <w:highlight w:val="none"/>
          <w:lang w:val="en-US" w:eastAsia="zh-CN"/>
        </w:rPr>
        <w:t>2</w:t>
      </w:r>
      <w:r>
        <w:rPr>
          <w:b/>
          <w:color w:val="auto"/>
          <w:highlight w:val="none"/>
        </w:rPr>
        <w:t xml:space="preserve">. </w:t>
      </w:r>
      <w:r>
        <w:rPr>
          <w:rFonts w:hint="eastAsia"/>
          <w:b/>
          <w:color w:val="auto"/>
          <w:highlight w:val="none"/>
          <w:lang w:val="en-US" w:eastAsia="zh-CN"/>
        </w:rPr>
        <w:t>北京大学法学院本科毕业（学位）论文</w:t>
      </w:r>
      <w:r>
        <w:rPr>
          <w:rFonts w:hint="eastAsia"/>
          <w:b/>
          <w:color w:val="auto"/>
          <w:highlight w:val="none"/>
        </w:rPr>
        <w:t>原创性声明</w:t>
      </w:r>
      <w:r>
        <w:rPr>
          <w:rFonts w:hint="eastAsia"/>
          <w:b/>
          <w:color w:val="auto"/>
          <w:highlight w:val="none"/>
          <w:lang w:eastAsia="zh-CN"/>
        </w:rPr>
        <w:t>、</w:t>
      </w:r>
      <w:r>
        <w:rPr>
          <w:rFonts w:hint="eastAsia"/>
          <w:b/>
          <w:color w:val="auto"/>
          <w:highlight w:val="none"/>
          <w:lang w:val="en-US" w:eastAsia="zh-CN"/>
        </w:rPr>
        <w:t>学位论文</w:t>
      </w:r>
      <w:r>
        <w:rPr>
          <w:rFonts w:hint="eastAsia"/>
          <w:b/>
          <w:color w:val="auto"/>
          <w:highlight w:val="none"/>
        </w:rPr>
        <w:t>使用</w:t>
      </w:r>
      <w:r>
        <w:rPr>
          <w:rFonts w:hint="eastAsia"/>
          <w:b/>
          <w:color w:val="auto"/>
          <w:highlight w:val="none"/>
          <w:lang w:val="en-US" w:eastAsia="zh-CN"/>
        </w:rPr>
        <w:t>授权</w:t>
      </w:r>
      <w:r>
        <w:rPr>
          <w:rFonts w:hint="eastAsia"/>
          <w:b/>
          <w:color w:val="auto"/>
          <w:highlight w:val="none"/>
        </w:rPr>
        <w:t>说明</w:t>
      </w:r>
      <w:r>
        <w:rPr>
          <w:rFonts w:hint="eastAsia"/>
          <w:color w:val="auto"/>
          <w:highlight w:val="none"/>
        </w:rPr>
        <w:t>（导师和作者本人均需签名）。</w:t>
      </w:r>
    </w:p>
    <w:p w14:paraId="0CECC5D2">
      <w:pPr>
        <w:ind w:firstLine="482" w:firstLineChars="200"/>
        <w:rPr>
          <w:color w:val="auto"/>
          <w:highlight w:val="none"/>
        </w:rPr>
      </w:pPr>
      <w:r>
        <w:rPr>
          <w:b/>
          <w:bCs/>
          <w:color w:val="auto"/>
          <w:highlight w:val="none"/>
        </w:rPr>
        <w:t>1</w:t>
      </w:r>
      <w:r>
        <w:rPr>
          <w:rFonts w:hint="eastAsia"/>
          <w:b/>
          <w:bCs/>
          <w:color w:val="auto"/>
          <w:highlight w:val="none"/>
          <w:lang w:val="en-US" w:eastAsia="zh-CN"/>
        </w:rPr>
        <w:t>3</w:t>
      </w:r>
      <w:r>
        <w:rPr>
          <w:b/>
          <w:bCs/>
          <w:color w:val="auto"/>
          <w:highlight w:val="none"/>
        </w:rPr>
        <w:t xml:space="preserve">. </w:t>
      </w:r>
      <w:r>
        <w:rPr>
          <w:rFonts w:hint="eastAsia"/>
          <w:b/>
          <w:color w:val="auto"/>
          <w:highlight w:val="none"/>
        </w:rPr>
        <w:t>封底</w:t>
      </w:r>
      <w:r>
        <w:rPr>
          <w:rFonts w:hint="eastAsia"/>
          <w:color w:val="auto"/>
          <w:highlight w:val="none"/>
        </w:rPr>
        <w:t>。</w:t>
      </w:r>
    </w:p>
    <w:p w14:paraId="11D9DBA8">
      <w:pPr>
        <w:ind w:firstLine="480" w:firstLineChars="200"/>
        <w:rPr>
          <w:color w:val="auto"/>
          <w:highlight w:val="none"/>
        </w:rPr>
      </w:pPr>
    </w:p>
    <w:p w14:paraId="658BFBC5">
      <w:pPr>
        <w:ind w:firstLine="480" w:firstLineChars="200"/>
        <w:rPr>
          <w:color w:val="auto"/>
          <w:highlight w:val="none"/>
        </w:rPr>
      </w:pPr>
      <w:r>
        <w:rPr>
          <w:rFonts w:hint="eastAsia"/>
          <w:color w:val="auto"/>
          <w:highlight w:val="none"/>
        </w:rPr>
        <w:t>论文的基本格式要求，请同时比照《北京大学法学院</w:t>
      </w:r>
      <w:r>
        <w:rPr>
          <w:rFonts w:hint="eastAsia"/>
          <w:color w:val="auto"/>
          <w:highlight w:val="none"/>
          <w:lang w:val="en-US" w:eastAsia="zh-CN"/>
        </w:rPr>
        <w:t>本科毕业</w:t>
      </w:r>
      <w:r>
        <w:rPr>
          <w:rFonts w:hint="eastAsia"/>
          <w:color w:val="auto"/>
          <w:highlight w:val="none"/>
        </w:rPr>
        <w:t>论文模板》处理。</w:t>
      </w:r>
    </w:p>
    <w:p w14:paraId="2427ED8D">
      <w:pPr>
        <w:widowControl/>
        <w:spacing w:line="240" w:lineRule="auto"/>
        <w:jc w:val="left"/>
        <w:rPr>
          <w:color w:val="auto"/>
          <w:highlight w:val="none"/>
        </w:rPr>
      </w:pPr>
      <w:r>
        <w:rPr>
          <w:color w:val="auto"/>
          <w:highlight w:val="none"/>
        </w:rPr>
        <w:br w:type="page"/>
      </w:r>
    </w:p>
    <w:p w14:paraId="18D78DC4">
      <w:pPr>
        <w:pStyle w:val="2"/>
        <w:rPr>
          <w:color w:val="auto"/>
          <w:highlight w:val="none"/>
        </w:rPr>
      </w:pPr>
      <w:bookmarkStart w:id="1" w:name="_Toc241057710"/>
      <w:r>
        <w:rPr>
          <w:rFonts w:hint="eastAsia"/>
          <w:color w:val="auto"/>
          <w:highlight w:val="none"/>
        </w:rPr>
        <w:t>二、</w:t>
      </w:r>
      <w:r>
        <w:rPr>
          <w:rFonts w:hint="eastAsia"/>
          <w:color w:val="auto"/>
          <w:highlight w:val="none"/>
          <w:lang w:val="en-US" w:eastAsia="zh-CN"/>
        </w:rPr>
        <w:t>毕业</w:t>
      </w:r>
      <w:r>
        <w:rPr>
          <w:rFonts w:hint="eastAsia"/>
          <w:color w:val="auto"/>
          <w:highlight w:val="none"/>
        </w:rPr>
        <w:t>论文的引注规范</w:t>
      </w:r>
      <w:bookmarkEnd w:id="1"/>
    </w:p>
    <w:p w14:paraId="5D3C8CE8">
      <w:pPr>
        <w:pStyle w:val="3"/>
        <w:rPr>
          <w:color w:val="auto"/>
          <w:highlight w:val="none"/>
        </w:rPr>
      </w:pPr>
      <w:bookmarkStart w:id="2" w:name="_Toc1302773728"/>
      <w:r>
        <w:rPr>
          <w:rFonts w:hint="eastAsia"/>
          <w:color w:val="auto"/>
          <w:highlight w:val="none"/>
        </w:rPr>
        <w:t>（一）引注规范的基本要求</w:t>
      </w:r>
      <w:bookmarkEnd w:id="2"/>
    </w:p>
    <w:p w14:paraId="3ECD7421">
      <w:pPr>
        <w:ind w:firstLine="480" w:firstLineChars="200"/>
        <w:rPr>
          <w:rFonts w:hint="eastAsia" w:ascii="宋体" w:hAnsi="宋体" w:cs="宋体"/>
          <w:color w:val="auto"/>
          <w:kern w:val="0"/>
          <w:szCs w:val="21"/>
          <w:highlight w:val="none"/>
        </w:rPr>
      </w:pPr>
      <w:r>
        <w:rPr>
          <w:color w:val="auto"/>
          <w:highlight w:val="none"/>
        </w:rPr>
        <w:t xml:space="preserve">1. </w:t>
      </w:r>
      <w:r>
        <w:rPr>
          <w:rFonts w:hint="eastAsia"/>
          <w:color w:val="auto"/>
          <w:highlight w:val="none"/>
        </w:rPr>
        <w:t>不论是直接引用其他</w:t>
      </w:r>
      <w:r>
        <w:rPr>
          <w:rFonts w:hint="eastAsia" w:ascii="宋体" w:hAnsi="宋体" w:cs="宋体"/>
          <w:color w:val="auto"/>
          <w:kern w:val="0"/>
          <w:szCs w:val="21"/>
          <w:highlight w:val="none"/>
        </w:rPr>
        <w:t>文献资料中的直接表述，还是借鉴其他文献资料中的观点，均应使用注释标明出处；</w:t>
      </w:r>
    </w:p>
    <w:p w14:paraId="26A639BB">
      <w:pPr>
        <w:numPr>
          <w:ilvl w:val="0"/>
          <w:numId w:val="1"/>
        </w:numPr>
        <w:ind w:firstLine="480" w:firstLineChars="200"/>
        <w:rPr>
          <w:color w:val="auto"/>
          <w:highlight w:val="none"/>
        </w:rPr>
      </w:pPr>
      <w:r>
        <w:rPr>
          <w:rFonts w:hint="eastAsia"/>
          <w:color w:val="auto"/>
          <w:highlight w:val="none"/>
          <w:lang w:val="en-US" w:eastAsia="zh-CN"/>
        </w:rPr>
        <w:t>应逐条核对引注的真实性、准确性；</w:t>
      </w:r>
    </w:p>
    <w:p w14:paraId="1133B421">
      <w:pPr>
        <w:ind w:firstLine="480" w:firstLineChars="200"/>
        <w:rPr>
          <w:color w:val="auto"/>
          <w:highlight w:val="none"/>
        </w:rPr>
      </w:pPr>
      <w:r>
        <w:rPr>
          <w:rFonts w:hint="eastAsia"/>
          <w:color w:val="auto"/>
          <w:highlight w:val="none"/>
          <w:lang w:val="en-US" w:eastAsia="zh-CN"/>
        </w:rPr>
        <w:t>3</w:t>
      </w:r>
      <w:r>
        <w:rPr>
          <w:color w:val="auto"/>
          <w:highlight w:val="none"/>
        </w:rPr>
        <w:t xml:space="preserve">. </w:t>
      </w:r>
      <w:r>
        <w:rPr>
          <w:rFonts w:hint="eastAsia" w:ascii="宋体" w:hAnsi="宋体" w:cs="宋体"/>
          <w:color w:val="auto"/>
          <w:kern w:val="0"/>
          <w:szCs w:val="21"/>
          <w:highlight w:val="none"/>
        </w:rPr>
        <w:t>应尽可能引用公开出版、纸质版的文献资料或者来源于官方、权威渠道的资料；</w:t>
      </w:r>
    </w:p>
    <w:p w14:paraId="47B3C96B">
      <w:pPr>
        <w:ind w:firstLine="480" w:firstLineChars="200"/>
        <w:rPr>
          <w:color w:val="auto"/>
          <w:highlight w:val="none"/>
        </w:rPr>
      </w:pPr>
      <w:r>
        <w:rPr>
          <w:rFonts w:hint="eastAsia"/>
          <w:color w:val="auto"/>
          <w:highlight w:val="none"/>
          <w:lang w:val="en-US" w:eastAsia="zh-CN"/>
        </w:rPr>
        <w:t>4</w:t>
      </w:r>
      <w:r>
        <w:rPr>
          <w:color w:val="auto"/>
          <w:highlight w:val="none"/>
        </w:rPr>
        <w:t xml:space="preserve">. </w:t>
      </w:r>
      <w:r>
        <w:rPr>
          <w:rFonts w:hint="eastAsia"/>
          <w:color w:val="auto"/>
          <w:highlight w:val="none"/>
        </w:rPr>
        <w:t>同一文献有多个来源的，一般引用最初刊发的文献，不引用转载的文献。学术论文一般情况下不允许采用转引的形式；</w:t>
      </w:r>
    </w:p>
    <w:p w14:paraId="122C4A52">
      <w:pPr>
        <w:ind w:firstLine="480" w:firstLineChars="200"/>
        <w:rPr>
          <w:rFonts w:ascii="宋体" w:hAnsi="宋体" w:cs="宋体"/>
          <w:color w:val="auto"/>
          <w:kern w:val="0"/>
          <w:szCs w:val="21"/>
          <w:highlight w:val="none"/>
        </w:rPr>
      </w:pPr>
      <w:r>
        <w:rPr>
          <w:rFonts w:hint="eastAsia"/>
          <w:color w:val="auto"/>
          <w:highlight w:val="none"/>
          <w:lang w:val="en-US" w:eastAsia="zh-CN"/>
        </w:rPr>
        <w:t>5</w:t>
      </w:r>
      <w:r>
        <w:rPr>
          <w:color w:val="auto"/>
          <w:highlight w:val="none"/>
        </w:rPr>
        <w:t xml:space="preserve">. </w:t>
      </w:r>
      <w:r>
        <w:rPr>
          <w:rFonts w:hint="eastAsia" w:ascii="宋体" w:hAnsi="宋体" w:cs="宋体"/>
          <w:color w:val="auto"/>
          <w:kern w:val="0"/>
          <w:szCs w:val="21"/>
          <w:highlight w:val="none"/>
        </w:rPr>
        <w:t>原则上应引用公开出版物，</w:t>
      </w:r>
      <w:r>
        <w:rPr>
          <w:rFonts w:hint="eastAsia"/>
          <w:color w:val="auto"/>
          <w:highlight w:val="none"/>
        </w:rPr>
        <w:t>一般不引注源于百度百科、维基百科、互动百科、豆瓣、贴吧、论坛、</w:t>
      </w:r>
      <w:r>
        <w:rPr>
          <w:color w:val="auto"/>
          <w:highlight w:val="none"/>
        </w:rPr>
        <w:t>BBS</w:t>
      </w:r>
      <w:r>
        <w:rPr>
          <w:rFonts w:hint="eastAsia"/>
          <w:color w:val="auto"/>
          <w:highlight w:val="none"/>
        </w:rPr>
        <w:t>、微博等用户参与编辑的网站上的资料；</w:t>
      </w:r>
    </w:p>
    <w:p w14:paraId="7852E91B">
      <w:pPr>
        <w:ind w:firstLine="480" w:firstLineChars="200"/>
        <w:rPr>
          <w:color w:val="auto"/>
          <w:highlight w:val="none"/>
        </w:rPr>
      </w:pPr>
      <w:r>
        <w:rPr>
          <w:rFonts w:hint="eastAsia"/>
          <w:color w:val="auto"/>
          <w:highlight w:val="none"/>
          <w:lang w:val="en-US" w:eastAsia="zh-CN"/>
        </w:rPr>
        <w:t>6</w:t>
      </w:r>
      <w:r>
        <w:rPr>
          <w:color w:val="auto"/>
          <w:highlight w:val="none"/>
        </w:rPr>
        <w:t xml:space="preserve">. </w:t>
      </w:r>
      <w:r>
        <w:rPr>
          <w:rFonts w:hint="eastAsia"/>
          <w:color w:val="auto"/>
          <w:highlight w:val="none"/>
        </w:rPr>
        <w:t>应注意所引用资料的时效性，除非是经典的原理性著作、论文。如果是制度规范性的，特别要注意有关内容是否已更新。引用文献应尽量采用最新版本、权威出版社出版物；</w:t>
      </w:r>
    </w:p>
    <w:p w14:paraId="1E32334F">
      <w:pPr>
        <w:ind w:firstLine="480" w:firstLineChars="200"/>
        <w:rPr>
          <w:color w:val="auto"/>
          <w:highlight w:val="none"/>
        </w:rPr>
      </w:pPr>
      <w:r>
        <w:rPr>
          <w:rFonts w:hint="eastAsia"/>
          <w:color w:val="auto"/>
          <w:highlight w:val="none"/>
          <w:lang w:val="en-US" w:eastAsia="zh-CN"/>
        </w:rPr>
        <w:t>7</w:t>
      </w:r>
      <w:r>
        <w:rPr>
          <w:color w:val="auto"/>
          <w:highlight w:val="none"/>
        </w:rPr>
        <w:t xml:space="preserve">. </w:t>
      </w:r>
      <w:r>
        <w:rPr>
          <w:rFonts w:hint="eastAsia"/>
          <w:color w:val="auto"/>
          <w:highlight w:val="none"/>
        </w:rPr>
        <w:t>引用古籍的，参照有关专业部门发布之规范；引用英文的，以本规定为准，标点符号须使用英文常用符号；引用其他外文的，遵循该语种的通常注释习惯；</w:t>
      </w:r>
    </w:p>
    <w:p w14:paraId="222EE9D5">
      <w:pPr>
        <w:ind w:firstLine="480" w:firstLineChars="200"/>
        <w:rPr>
          <w:color w:val="auto"/>
          <w:highlight w:val="none"/>
        </w:rPr>
      </w:pPr>
      <w:r>
        <w:rPr>
          <w:rFonts w:hint="eastAsia"/>
          <w:color w:val="auto"/>
          <w:highlight w:val="none"/>
          <w:lang w:val="en-US" w:eastAsia="zh-CN"/>
        </w:rPr>
        <w:t>8</w:t>
      </w:r>
      <w:r>
        <w:rPr>
          <w:color w:val="auto"/>
          <w:highlight w:val="none"/>
        </w:rPr>
        <w:t xml:space="preserve">. </w:t>
      </w:r>
      <w:r>
        <w:rPr>
          <w:rFonts w:hint="eastAsia"/>
          <w:color w:val="auto"/>
          <w:highlight w:val="none"/>
        </w:rPr>
        <w:t>直接引用原文的，正文中应使用双引号；非直接引用原文的，应在所引用的文献资料前加“参见”二字；</w:t>
      </w:r>
      <w:r>
        <w:rPr>
          <w:rFonts w:hint="eastAsia" w:ascii="宋体" w:hAnsi="宋体" w:cs="宋体"/>
          <w:color w:val="auto"/>
          <w:kern w:val="0"/>
          <w:szCs w:val="21"/>
          <w:highlight w:val="none"/>
        </w:rPr>
        <w:t>非引自原始出处的，应同时引注：“＊＊，转引自＊＊”；</w:t>
      </w:r>
    </w:p>
    <w:p w14:paraId="2F865BED">
      <w:pPr>
        <w:ind w:firstLine="480" w:firstLineChars="200"/>
        <w:rPr>
          <w:color w:val="auto"/>
          <w:highlight w:val="none"/>
        </w:rPr>
      </w:pPr>
      <w:r>
        <w:rPr>
          <w:rFonts w:hint="eastAsia"/>
          <w:color w:val="auto"/>
          <w:highlight w:val="none"/>
          <w:lang w:val="en-US" w:eastAsia="zh-CN"/>
        </w:rPr>
        <w:t>9</w:t>
      </w:r>
      <w:r>
        <w:rPr>
          <w:color w:val="auto"/>
          <w:highlight w:val="none"/>
        </w:rPr>
        <w:t xml:space="preserve">. </w:t>
      </w:r>
      <w:r>
        <w:rPr>
          <w:rFonts w:hint="eastAsia"/>
          <w:color w:val="auto"/>
          <w:highlight w:val="none"/>
        </w:rPr>
        <w:t>引用自己的作品时，请直接标明作者姓名，不要使用“拙文”“拙著”等自谦词；</w:t>
      </w:r>
    </w:p>
    <w:p w14:paraId="6E8BA141">
      <w:pPr>
        <w:ind w:firstLine="480" w:firstLineChars="200"/>
        <w:rPr>
          <w:color w:val="auto"/>
          <w:highlight w:val="none"/>
        </w:rPr>
      </w:pPr>
      <w:r>
        <w:rPr>
          <w:rFonts w:hint="eastAsia"/>
          <w:color w:val="auto"/>
          <w:highlight w:val="none"/>
          <w:lang w:val="en-US" w:eastAsia="zh-CN"/>
        </w:rPr>
        <w:t>10</w:t>
      </w:r>
      <w:r>
        <w:rPr>
          <w:color w:val="auto"/>
          <w:highlight w:val="none"/>
        </w:rPr>
        <w:t xml:space="preserve">. </w:t>
      </w:r>
      <w:r>
        <w:rPr>
          <w:rFonts w:hint="eastAsia"/>
          <w:color w:val="auto"/>
          <w:highlight w:val="none"/>
        </w:rPr>
        <w:t>根据被引书籍的性质，在作者姓名后加“著”“主编”“编译”“编著”“编选”等字样。</w:t>
      </w:r>
    </w:p>
    <w:p w14:paraId="6BB98277">
      <w:pPr>
        <w:pStyle w:val="3"/>
        <w:rPr>
          <w:color w:val="auto"/>
          <w:highlight w:val="none"/>
        </w:rPr>
      </w:pPr>
      <w:bookmarkStart w:id="3" w:name="_Toc2122265331"/>
      <w:r>
        <w:rPr>
          <w:rFonts w:hint="eastAsia"/>
          <w:color w:val="auto"/>
          <w:highlight w:val="none"/>
        </w:rPr>
        <w:t>（二）中文引注示例</w:t>
      </w:r>
      <w:bookmarkEnd w:id="3"/>
    </w:p>
    <w:p w14:paraId="2CC720B0">
      <w:pPr>
        <w:widowControl/>
        <w:shd w:val="clear" w:color="auto" w:fill="FFFFFF"/>
        <w:spacing w:line="420" w:lineRule="atLeast"/>
        <w:ind w:firstLine="48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文中注释一律采用脚注（</w:t>
      </w:r>
      <w:r>
        <w:rPr>
          <w:rFonts w:ascii="宋体" w:hAnsi="宋体" w:cs="宋体"/>
          <w:color w:val="auto"/>
          <w:kern w:val="0"/>
          <w:szCs w:val="21"/>
          <w:highlight w:val="none"/>
        </w:rPr>
        <w:t>word软件中可自动生成）；</w:t>
      </w:r>
      <w:r>
        <w:rPr>
          <w:rFonts w:hint="eastAsia" w:ascii="宋体" w:hAnsi="宋体" w:cs="宋体"/>
          <w:color w:val="auto"/>
          <w:kern w:val="0"/>
          <w:szCs w:val="21"/>
          <w:highlight w:val="none"/>
          <w:lang w:val="en-US" w:eastAsia="zh-CN"/>
        </w:rPr>
        <w:t>全文连续</w:t>
      </w:r>
      <w:r>
        <w:rPr>
          <w:rFonts w:ascii="宋体" w:hAnsi="宋体" w:cs="宋体"/>
          <w:color w:val="auto"/>
          <w:kern w:val="0"/>
          <w:szCs w:val="21"/>
          <w:highlight w:val="none"/>
        </w:rPr>
        <w:t>编号，注码样式为1，2，3等，排在所要注释内容的标点符号后的右上角。</w:t>
      </w:r>
    </w:p>
    <w:p w14:paraId="0C02197E">
      <w:pPr>
        <w:widowControl/>
        <w:shd w:val="clear" w:color="auto" w:fill="FFFFFF"/>
        <w:spacing w:line="420" w:lineRule="atLeast"/>
        <w:ind w:firstLine="48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数个注释引自同一文献资料的，如同页中出现第二次引用时，若紧接第一次，可注为“同上注，第</w:t>
      </w:r>
      <w:r>
        <w:rPr>
          <w:rFonts w:ascii="宋体" w:hAnsi="宋体" w:cs="宋体"/>
          <w:color w:val="auto"/>
          <w:kern w:val="0"/>
          <w:szCs w:val="21"/>
          <w:highlight w:val="none"/>
        </w:rPr>
        <w:t>n页”；如两次引用之间有间隔，则注为“作者姓名，见前注N，第n页”。</w:t>
      </w:r>
    </w:p>
    <w:p w14:paraId="1DBA9A4A">
      <w:pPr>
        <w:widowControl/>
        <w:shd w:val="clear" w:color="auto" w:fill="FFFFFF"/>
        <w:spacing w:line="420" w:lineRule="atLeast"/>
        <w:ind w:firstLine="480" w:firstLineChars="200"/>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注释格式应当保持前后一致，不使用两种以上的格式。特别是，不同时使用［</w:t>
      </w:r>
      <w:r>
        <w:rPr>
          <w:rFonts w:ascii="宋体" w:hAnsi="宋体" w:cs="宋体"/>
          <w:color w:val="auto"/>
          <w:kern w:val="0"/>
          <w:szCs w:val="21"/>
          <w:highlight w:val="none"/>
        </w:rPr>
        <w:t>M］［J］［D］［N］[EB/OL]等期刊参考文献类标识符号。</w:t>
      </w:r>
    </w:p>
    <w:p w14:paraId="64C2BC89">
      <w:pPr>
        <w:widowControl/>
        <w:shd w:val="clear" w:color="auto" w:fill="FFFFFF"/>
        <w:spacing w:line="420" w:lineRule="atLeast"/>
        <w:ind w:firstLine="480" w:firstLineChars="200"/>
        <w:jc w:val="left"/>
        <w:rPr>
          <w:rFonts w:cs="Times New Roman"/>
          <w:b/>
          <w:color w:val="auto"/>
          <w:highlight w:val="none"/>
        </w:rPr>
      </w:pPr>
      <w:r>
        <w:rPr>
          <w:rFonts w:eastAsia="微软雅黑" w:cs="Times New Roman"/>
          <w:b/>
          <w:bCs/>
          <w:color w:val="auto"/>
          <w:kern w:val="0"/>
          <w:szCs w:val="21"/>
          <w:highlight w:val="none"/>
        </w:rPr>
        <w:t xml:space="preserve">1. </w:t>
      </w:r>
      <w:r>
        <w:rPr>
          <w:rFonts w:hint="eastAsia" w:cs="Times New Roman"/>
          <w:b/>
          <w:color w:val="auto"/>
          <w:highlight w:val="none"/>
        </w:rPr>
        <w:t>著作、教材</w:t>
      </w:r>
    </w:p>
    <w:p w14:paraId="4C20BC86">
      <w:pPr>
        <w:ind w:left="482"/>
        <w:rPr>
          <w:b/>
          <w:color w:val="auto"/>
          <w:highlight w:val="none"/>
        </w:rPr>
      </w:pPr>
      <w:r>
        <w:rPr>
          <w:rFonts w:hint="eastAsia" w:ascii="宋体" w:hAnsi="宋体" w:cs="宋体"/>
          <w:color w:val="auto"/>
          <w:kern w:val="0"/>
          <w:szCs w:val="21"/>
          <w:highlight w:val="none"/>
        </w:rPr>
        <w:t>注文中的信息顺序为：作者、文献名称、出版者及年份、版次、页码。</w:t>
      </w:r>
    </w:p>
    <w:p w14:paraId="7211BC20">
      <w:pPr>
        <w:ind w:firstLine="480" w:firstLineChars="200"/>
        <w:rPr>
          <w:rFonts w:eastAsia="仿宋" w:cs="Times New Roman"/>
          <w:color w:val="auto"/>
          <w:highlight w:val="none"/>
        </w:rPr>
      </w:pPr>
      <w:r>
        <w:rPr>
          <w:rFonts w:hint="eastAsia" w:eastAsia="仿宋" w:cs="Times New Roman"/>
          <w:color w:val="auto"/>
          <w:highlight w:val="none"/>
        </w:rPr>
        <w:t>苏力著：《法治及其本土资源》，北京大学出版社</w:t>
      </w:r>
      <w:r>
        <w:rPr>
          <w:rFonts w:eastAsia="仿宋" w:cs="Times New Roman"/>
          <w:color w:val="auto"/>
          <w:highlight w:val="none"/>
        </w:rPr>
        <w:t>2015</w:t>
      </w:r>
      <w:r>
        <w:rPr>
          <w:rFonts w:hint="eastAsia" w:eastAsia="仿宋" w:cs="Times New Roman"/>
          <w:color w:val="auto"/>
          <w:highlight w:val="none"/>
        </w:rPr>
        <w:t>年第</w:t>
      </w:r>
      <w:r>
        <w:rPr>
          <w:rFonts w:eastAsia="仿宋" w:cs="Times New Roman"/>
          <w:color w:val="auto"/>
          <w:highlight w:val="none"/>
        </w:rPr>
        <w:t>3</w:t>
      </w:r>
      <w:r>
        <w:rPr>
          <w:rFonts w:hint="eastAsia" w:eastAsia="仿宋" w:cs="Times New Roman"/>
          <w:color w:val="auto"/>
          <w:highlight w:val="none"/>
        </w:rPr>
        <w:t>版，第</w:t>
      </w:r>
      <w:r>
        <w:rPr>
          <w:rFonts w:eastAsia="仿宋" w:cs="Times New Roman"/>
          <w:color w:val="auto"/>
          <w:highlight w:val="none"/>
        </w:rPr>
        <w:t>55</w:t>
      </w:r>
      <w:r>
        <w:rPr>
          <w:rFonts w:hint="eastAsia" w:eastAsia="仿宋" w:cs="Times New Roman"/>
          <w:color w:val="auto"/>
          <w:highlight w:val="none"/>
        </w:rPr>
        <w:t>页。</w:t>
      </w:r>
    </w:p>
    <w:p w14:paraId="25CF8708">
      <w:pPr>
        <w:ind w:firstLine="480" w:firstLineChars="200"/>
        <w:rPr>
          <w:rFonts w:eastAsia="仿宋" w:cs="Times New Roman"/>
          <w:color w:val="auto"/>
          <w:highlight w:val="none"/>
        </w:rPr>
      </w:pPr>
      <w:r>
        <w:rPr>
          <w:rFonts w:hint="eastAsia" w:eastAsia="仿宋" w:cs="Times New Roman"/>
          <w:color w:val="auto"/>
          <w:highlight w:val="none"/>
        </w:rPr>
        <w:t>杨紫烜主编：《经济法》，北京大学出版社</w:t>
      </w:r>
      <w:r>
        <w:rPr>
          <w:rFonts w:eastAsia="仿宋" w:cs="Times New Roman"/>
          <w:color w:val="auto"/>
          <w:highlight w:val="none"/>
        </w:rPr>
        <w:t>2014</w:t>
      </w:r>
      <w:r>
        <w:rPr>
          <w:rFonts w:hint="eastAsia" w:eastAsia="仿宋" w:cs="Times New Roman"/>
          <w:color w:val="auto"/>
          <w:highlight w:val="none"/>
        </w:rPr>
        <w:t>年第</w:t>
      </w:r>
      <w:r>
        <w:rPr>
          <w:rFonts w:eastAsia="仿宋" w:cs="Times New Roman"/>
          <w:color w:val="auto"/>
          <w:highlight w:val="none"/>
        </w:rPr>
        <w:t>5</w:t>
      </w:r>
      <w:r>
        <w:rPr>
          <w:rFonts w:hint="eastAsia" w:eastAsia="仿宋" w:cs="Times New Roman"/>
          <w:color w:val="auto"/>
          <w:highlight w:val="none"/>
        </w:rPr>
        <w:t>版，第</w:t>
      </w:r>
      <w:r>
        <w:rPr>
          <w:rFonts w:eastAsia="仿宋" w:cs="Times New Roman"/>
          <w:color w:val="auto"/>
          <w:highlight w:val="none"/>
        </w:rPr>
        <w:t>66</w:t>
      </w:r>
      <w:r>
        <w:rPr>
          <w:rFonts w:hint="eastAsia" w:eastAsia="仿宋" w:cs="Times New Roman"/>
          <w:color w:val="auto"/>
          <w:highlight w:val="none"/>
        </w:rPr>
        <w:t>页。</w:t>
      </w:r>
    </w:p>
    <w:p w14:paraId="300FA5CC">
      <w:pPr>
        <w:ind w:firstLine="480" w:firstLineChars="200"/>
        <w:rPr>
          <w:b/>
          <w:color w:val="auto"/>
          <w:highlight w:val="none"/>
        </w:rPr>
      </w:pPr>
      <w:r>
        <w:rPr>
          <w:rFonts w:hint="eastAsia" w:eastAsia="仿宋" w:cs="Times New Roman"/>
          <w:color w:val="auto"/>
          <w:highlight w:val="none"/>
        </w:rPr>
        <w:t>陈兴良著：《规范刑法学（教学版）》，中国人民大学出版社</w:t>
      </w:r>
      <w:r>
        <w:rPr>
          <w:rFonts w:eastAsia="仿宋" w:cs="Times New Roman"/>
          <w:color w:val="auto"/>
          <w:highlight w:val="none"/>
        </w:rPr>
        <w:t>2015</w:t>
      </w:r>
      <w:r>
        <w:rPr>
          <w:rFonts w:hint="eastAsia" w:eastAsia="仿宋" w:cs="Times New Roman"/>
          <w:color w:val="auto"/>
          <w:highlight w:val="none"/>
        </w:rPr>
        <w:t>年版，第</w:t>
      </w:r>
      <w:r>
        <w:rPr>
          <w:rFonts w:eastAsia="仿宋" w:cs="Times New Roman"/>
          <w:color w:val="auto"/>
          <w:highlight w:val="none"/>
        </w:rPr>
        <w:t>55</w:t>
      </w:r>
      <w:r>
        <w:rPr>
          <w:rFonts w:hint="eastAsia" w:eastAsia="仿宋" w:cs="Times New Roman"/>
          <w:color w:val="auto"/>
          <w:highlight w:val="none"/>
        </w:rPr>
        <w:t>页。</w:t>
      </w:r>
    </w:p>
    <w:p w14:paraId="04A1C24E">
      <w:pPr>
        <w:widowControl/>
        <w:shd w:val="clear" w:color="auto" w:fill="FFFFFF"/>
        <w:spacing w:line="420" w:lineRule="atLeast"/>
        <w:ind w:firstLine="482" w:firstLineChars="200"/>
        <w:jc w:val="left"/>
        <w:rPr>
          <w:rFonts w:ascii="宋体" w:hAnsi="宋体" w:cs="宋体"/>
          <w:color w:val="auto"/>
          <w:kern w:val="0"/>
          <w:szCs w:val="21"/>
          <w:highlight w:val="none"/>
        </w:rPr>
      </w:pPr>
      <w:r>
        <w:rPr>
          <w:b/>
          <w:color w:val="auto"/>
          <w:highlight w:val="none"/>
        </w:rPr>
        <w:t xml:space="preserve">2. </w:t>
      </w:r>
      <w:r>
        <w:rPr>
          <w:rFonts w:hint="eastAsia"/>
          <w:b/>
          <w:color w:val="auto"/>
          <w:highlight w:val="none"/>
        </w:rPr>
        <w:t>论文</w:t>
      </w:r>
    </w:p>
    <w:p w14:paraId="73ED3546">
      <w:pPr>
        <w:ind w:firstLine="480" w:firstLineChars="200"/>
        <w:rPr>
          <w:rFonts w:hint="eastAsia" w:eastAsia="仿宋" w:cs="Times New Roman"/>
          <w:color w:val="auto"/>
          <w:highlight w:val="none"/>
        </w:rPr>
      </w:pPr>
      <w:r>
        <w:rPr>
          <w:rFonts w:hint="eastAsia" w:eastAsia="仿宋" w:cs="Times New Roman"/>
          <w:color w:val="auto"/>
          <w:highlight w:val="none"/>
        </w:rPr>
        <w:t>定期出版物的注释顺序：作者、文章篇名、出版物名称、年份及卷次、页码。</w:t>
      </w:r>
    </w:p>
    <w:p w14:paraId="29CC3377">
      <w:pPr>
        <w:ind w:firstLine="480" w:firstLineChars="200"/>
        <w:rPr>
          <w:rFonts w:hint="eastAsia" w:eastAsia="仿宋" w:cs="Times New Roman"/>
          <w:color w:val="auto"/>
          <w:highlight w:val="none"/>
        </w:rPr>
      </w:pPr>
      <w:r>
        <w:rPr>
          <w:rFonts w:hint="eastAsia" w:eastAsia="仿宋" w:cs="Times New Roman"/>
          <w:color w:val="auto"/>
          <w:highlight w:val="none"/>
        </w:rPr>
        <w:t>陈瑞华：《刑事证明标准中主客观要素的关系》，《中国法学》2014年第3期，第177页。</w:t>
      </w:r>
    </w:p>
    <w:p w14:paraId="6C625C9D">
      <w:pPr>
        <w:ind w:firstLine="480" w:firstLineChars="200"/>
        <w:rPr>
          <w:rFonts w:hint="eastAsia" w:eastAsia="仿宋" w:cs="Times New Roman"/>
          <w:color w:val="auto"/>
          <w:highlight w:val="none"/>
        </w:rPr>
      </w:pPr>
      <w:r>
        <w:rPr>
          <w:rFonts w:hint="eastAsia" w:eastAsia="仿宋" w:cs="Times New Roman"/>
          <w:color w:val="auto"/>
          <w:highlight w:val="none"/>
        </w:rPr>
        <w:t>李松锋：《游走在上帝与凯撒之间：美国宪法第一修正案中的政教关系研究》，中国政法大学2015年博士学位论文，第10页。</w:t>
      </w:r>
    </w:p>
    <w:p w14:paraId="693B595D">
      <w:pPr>
        <w:ind w:firstLine="482" w:firstLineChars="200"/>
        <w:rPr>
          <w:b/>
          <w:color w:val="auto"/>
          <w:highlight w:val="none"/>
        </w:rPr>
      </w:pPr>
      <w:r>
        <w:rPr>
          <w:b/>
          <w:color w:val="auto"/>
          <w:highlight w:val="none"/>
        </w:rPr>
        <w:t xml:space="preserve">3. </w:t>
      </w:r>
      <w:r>
        <w:rPr>
          <w:rFonts w:hint="eastAsia"/>
          <w:b/>
          <w:color w:val="auto"/>
          <w:highlight w:val="none"/>
        </w:rPr>
        <w:t>文集（辑刊请按此格式处理）</w:t>
      </w:r>
    </w:p>
    <w:p w14:paraId="5AA55BDA">
      <w:pPr>
        <w:ind w:firstLine="480" w:firstLineChars="200"/>
        <w:rPr>
          <w:b/>
          <w:color w:val="auto"/>
          <w:highlight w:val="none"/>
        </w:rPr>
      </w:pPr>
      <w:r>
        <w:rPr>
          <w:rFonts w:hint="eastAsia" w:ascii="仿宋" w:hAnsi="仿宋" w:eastAsia="仿宋"/>
          <w:color w:val="auto"/>
          <w:highlight w:val="none"/>
        </w:rPr>
        <w:t>白建军：《犯罪定义学的理论方法与实证刑法学》，载陈兴良主编：《刑事法评论》（第</w:t>
      </w:r>
      <w:r>
        <w:rPr>
          <w:rFonts w:eastAsia="仿宋" w:cs="Times New Roman"/>
          <w:color w:val="auto"/>
          <w:highlight w:val="none"/>
        </w:rPr>
        <w:t>15</w:t>
      </w:r>
      <w:r>
        <w:rPr>
          <w:rFonts w:hint="eastAsia" w:ascii="仿宋" w:hAnsi="仿宋" w:eastAsia="仿宋"/>
          <w:color w:val="auto"/>
          <w:highlight w:val="none"/>
        </w:rPr>
        <w:t>卷），中国政法大学出版社</w:t>
      </w:r>
      <w:r>
        <w:rPr>
          <w:rFonts w:eastAsia="仿宋" w:cs="Times New Roman"/>
          <w:color w:val="auto"/>
          <w:highlight w:val="none"/>
        </w:rPr>
        <w:t>2004</w:t>
      </w:r>
      <w:r>
        <w:rPr>
          <w:rFonts w:hint="eastAsia" w:ascii="仿宋" w:hAnsi="仿宋" w:eastAsia="仿宋"/>
          <w:color w:val="auto"/>
          <w:highlight w:val="none"/>
        </w:rPr>
        <w:t>年版，第</w:t>
      </w:r>
      <w:r>
        <w:rPr>
          <w:rFonts w:eastAsia="仿宋" w:cs="Times New Roman"/>
          <w:color w:val="auto"/>
          <w:highlight w:val="none"/>
        </w:rPr>
        <w:t>328</w:t>
      </w:r>
      <w:r>
        <w:rPr>
          <w:rFonts w:hint="eastAsia" w:ascii="仿宋" w:hAnsi="仿宋" w:eastAsia="仿宋"/>
          <w:color w:val="auto"/>
          <w:highlight w:val="none"/>
        </w:rPr>
        <w:t>页。</w:t>
      </w:r>
    </w:p>
    <w:p w14:paraId="2E208F62">
      <w:pPr>
        <w:ind w:firstLine="482" w:firstLineChars="200"/>
        <w:rPr>
          <w:b/>
          <w:color w:val="auto"/>
          <w:highlight w:val="none"/>
        </w:rPr>
      </w:pPr>
      <w:r>
        <w:rPr>
          <w:b/>
          <w:color w:val="auto"/>
          <w:highlight w:val="none"/>
        </w:rPr>
        <w:t xml:space="preserve">4. </w:t>
      </w:r>
      <w:r>
        <w:rPr>
          <w:rFonts w:hint="eastAsia"/>
          <w:b/>
          <w:color w:val="auto"/>
          <w:highlight w:val="none"/>
        </w:rPr>
        <w:t>译作</w:t>
      </w:r>
    </w:p>
    <w:p w14:paraId="4CA4AA0F">
      <w:pPr>
        <w:ind w:firstLine="480" w:firstLineChars="200"/>
        <w:rPr>
          <w:rFonts w:hint="eastAsia" w:ascii="仿宋" w:hAnsi="仿宋" w:eastAsia="仿宋"/>
          <w:color w:val="auto"/>
          <w:highlight w:val="none"/>
        </w:rPr>
      </w:pPr>
      <w:r>
        <w:rPr>
          <w:rFonts w:hint="eastAsia" w:ascii="仿宋" w:hAnsi="仿宋" w:eastAsia="仿宋"/>
          <w:color w:val="auto"/>
          <w:highlight w:val="none"/>
        </w:rPr>
        <w:t>引文作者为外国人的，注释顺序为：国籍简称，外加中括号；作者、文献名称、译者、出版者及年份、版次、页码。</w:t>
      </w:r>
    </w:p>
    <w:p w14:paraId="283B936D">
      <w:pPr>
        <w:ind w:firstLine="480" w:firstLineChars="200"/>
        <w:rPr>
          <w:rFonts w:hint="eastAsia" w:ascii="仿宋" w:hAnsi="仿宋" w:eastAsia="仿宋"/>
          <w:color w:val="auto"/>
          <w:highlight w:val="none"/>
        </w:rPr>
      </w:pPr>
      <w:r>
        <w:rPr>
          <w:rFonts w:hint="eastAsia" w:ascii="仿宋" w:hAnsi="仿宋" w:eastAsia="仿宋"/>
          <w:color w:val="auto"/>
          <w:highlight w:val="none"/>
        </w:rPr>
        <w:t>[德]马克斯·韦伯著：《社会科学方法论》，杨富斌译，华夏出版社1999年版，第282页。</w:t>
      </w:r>
    </w:p>
    <w:p w14:paraId="5A3BB109">
      <w:pPr>
        <w:ind w:firstLine="482" w:firstLineChars="200"/>
        <w:rPr>
          <w:b/>
          <w:color w:val="auto"/>
          <w:highlight w:val="none"/>
        </w:rPr>
      </w:pPr>
      <w:r>
        <w:rPr>
          <w:b/>
          <w:color w:val="auto"/>
          <w:highlight w:val="none"/>
        </w:rPr>
        <w:t xml:space="preserve">5. </w:t>
      </w:r>
      <w:r>
        <w:rPr>
          <w:rFonts w:hint="eastAsia"/>
          <w:b/>
          <w:color w:val="auto"/>
          <w:highlight w:val="none"/>
        </w:rPr>
        <w:t>报纸类</w:t>
      </w:r>
    </w:p>
    <w:p w14:paraId="02C3563D">
      <w:pPr>
        <w:ind w:firstLine="480" w:firstLineChars="200"/>
        <w:rPr>
          <w:rFonts w:ascii="仿宋" w:hAnsi="仿宋" w:eastAsia="仿宋"/>
          <w:color w:val="auto"/>
          <w:highlight w:val="none"/>
        </w:rPr>
      </w:pPr>
      <w:r>
        <w:rPr>
          <w:rFonts w:hint="eastAsia" w:ascii="仿宋" w:hAnsi="仿宋" w:eastAsia="仿宋"/>
          <w:color w:val="auto"/>
          <w:highlight w:val="none"/>
        </w:rPr>
        <w:t>姜明安：《多些民主形式，少些形式民主》，载《法制日报》</w:t>
      </w:r>
      <w:r>
        <w:rPr>
          <w:rFonts w:eastAsia="仿宋" w:cs="Times New Roman"/>
          <w:color w:val="auto"/>
          <w:highlight w:val="none"/>
        </w:rPr>
        <w:t>2007</w:t>
      </w:r>
      <w:r>
        <w:rPr>
          <w:rFonts w:hint="eastAsia" w:eastAsia="仿宋" w:cs="Times New Roman"/>
          <w:color w:val="auto"/>
          <w:highlight w:val="none"/>
        </w:rPr>
        <w:t>年</w:t>
      </w:r>
      <w:r>
        <w:rPr>
          <w:rFonts w:eastAsia="仿宋" w:cs="Times New Roman"/>
          <w:color w:val="auto"/>
          <w:highlight w:val="none"/>
        </w:rPr>
        <w:t>7</w:t>
      </w:r>
      <w:r>
        <w:rPr>
          <w:rFonts w:hint="eastAsia" w:eastAsia="仿宋" w:cs="Times New Roman"/>
          <w:color w:val="auto"/>
          <w:highlight w:val="none"/>
        </w:rPr>
        <w:t>月</w:t>
      </w:r>
      <w:r>
        <w:rPr>
          <w:rFonts w:eastAsia="仿宋" w:cs="Times New Roman"/>
          <w:color w:val="auto"/>
          <w:highlight w:val="none"/>
        </w:rPr>
        <w:t>8</w:t>
      </w:r>
      <w:r>
        <w:rPr>
          <w:rFonts w:hint="eastAsia" w:ascii="仿宋" w:hAnsi="仿宋" w:eastAsia="仿宋"/>
          <w:color w:val="auto"/>
          <w:highlight w:val="none"/>
        </w:rPr>
        <w:t>日，第</w:t>
      </w:r>
      <w:r>
        <w:rPr>
          <w:rFonts w:eastAsia="仿宋" w:cs="Times New Roman"/>
          <w:color w:val="auto"/>
          <w:highlight w:val="none"/>
        </w:rPr>
        <w:t>14</w:t>
      </w:r>
      <w:r>
        <w:rPr>
          <w:rFonts w:hint="eastAsia" w:ascii="仿宋" w:hAnsi="仿宋" w:eastAsia="仿宋"/>
          <w:color w:val="auto"/>
          <w:highlight w:val="none"/>
        </w:rPr>
        <w:t>版。</w:t>
      </w:r>
    </w:p>
    <w:p w14:paraId="01027A7E">
      <w:pPr>
        <w:ind w:firstLine="482" w:firstLineChars="200"/>
        <w:rPr>
          <w:b/>
          <w:color w:val="auto"/>
          <w:highlight w:val="none"/>
        </w:rPr>
      </w:pPr>
      <w:r>
        <w:rPr>
          <w:b/>
          <w:color w:val="auto"/>
          <w:highlight w:val="none"/>
        </w:rPr>
        <w:t>6</w:t>
      </w:r>
      <w:r>
        <w:rPr>
          <w:rFonts w:hint="eastAsia"/>
          <w:b/>
          <w:color w:val="auto"/>
          <w:highlight w:val="none"/>
        </w:rPr>
        <w:t>．港台类</w:t>
      </w:r>
      <w:r>
        <w:rPr>
          <w:rFonts w:hint="eastAsia" w:ascii="仿宋" w:hAnsi="仿宋" w:eastAsia="仿宋"/>
          <w:color w:val="auto"/>
          <w:highlight w:val="none"/>
        </w:rPr>
        <w:t>：</w:t>
      </w:r>
    </w:p>
    <w:p w14:paraId="59B79637">
      <w:pPr>
        <w:ind w:firstLine="480" w:firstLineChars="200"/>
        <w:rPr>
          <w:rFonts w:ascii="仿宋" w:hAnsi="仿宋" w:eastAsia="仿宋"/>
          <w:color w:val="auto"/>
          <w:highlight w:val="none"/>
        </w:rPr>
      </w:pPr>
      <w:r>
        <w:rPr>
          <w:rFonts w:hint="eastAsia" w:ascii="仿宋" w:hAnsi="仿宋" w:eastAsia="仿宋"/>
          <w:color w:val="auto"/>
          <w:highlight w:val="none"/>
        </w:rPr>
        <w:t>胡鸿烈、钟期荣著：《香港的婚姻与继承法》，香港南天书业公司</w:t>
      </w:r>
      <w:r>
        <w:rPr>
          <w:rFonts w:ascii="仿宋" w:hAnsi="仿宋" w:eastAsia="仿宋"/>
          <w:color w:val="auto"/>
          <w:highlight w:val="none"/>
        </w:rPr>
        <w:t>1957年版，第115页。</w:t>
      </w:r>
    </w:p>
    <w:p w14:paraId="277A8F09">
      <w:pPr>
        <w:ind w:firstLine="480" w:firstLineChars="200"/>
        <w:rPr>
          <w:rFonts w:ascii="仿宋" w:hAnsi="仿宋" w:eastAsia="仿宋"/>
          <w:color w:val="auto"/>
          <w:highlight w:val="none"/>
        </w:rPr>
      </w:pPr>
      <w:r>
        <w:rPr>
          <w:rFonts w:hint="eastAsia" w:ascii="仿宋" w:hAnsi="仿宋" w:eastAsia="仿宋"/>
          <w:color w:val="auto"/>
          <w:highlight w:val="none"/>
        </w:rPr>
        <w:t>黄茂荣著：《税法总论（第</w:t>
      </w:r>
      <w:r>
        <w:rPr>
          <w:rFonts w:ascii="仿宋" w:hAnsi="仿宋" w:eastAsia="仿宋"/>
          <w:color w:val="auto"/>
          <w:highlight w:val="none"/>
        </w:rPr>
        <w:t>1册）：法学方法与现代税法》，台湾植根法学丛书编辑室2012年第3版，第23页。</w:t>
      </w:r>
    </w:p>
    <w:p w14:paraId="624C7E12">
      <w:pPr>
        <w:widowControl/>
        <w:shd w:val="clear" w:color="auto" w:fill="FFFFFF"/>
        <w:spacing w:line="420" w:lineRule="atLeast"/>
        <w:ind w:firstLine="480" w:firstLineChars="200"/>
        <w:rPr>
          <w:rFonts w:ascii="宋体" w:hAnsi="宋体" w:cs="宋体"/>
          <w:color w:val="auto"/>
          <w:kern w:val="0"/>
          <w:szCs w:val="21"/>
          <w:highlight w:val="none"/>
        </w:rPr>
      </w:pPr>
      <w:r>
        <w:rPr>
          <w:rFonts w:hint="eastAsia" w:ascii="宋体" w:hAnsi="宋体" w:cs="宋体"/>
          <w:color w:val="auto"/>
          <w:kern w:val="0"/>
          <w:szCs w:val="21"/>
          <w:highlight w:val="none"/>
        </w:rPr>
        <w:t>引用台湾地区学者的著作或者论文</w:t>
      </w:r>
      <w:r>
        <w:rPr>
          <w:rFonts w:hint="eastAsia"/>
          <w:color w:val="auto"/>
          <w:highlight w:val="none"/>
        </w:rPr>
        <w:t>应当遵守“一个中国”原则</w:t>
      </w:r>
      <w:r>
        <w:rPr>
          <w:rFonts w:hint="eastAsia" w:ascii="宋体" w:hAnsi="宋体" w:cs="宋体"/>
          <w:color w:val="auto"/>
          <w:kern w:val="0"/>
          <w:szCs w:val="21"/>
          <w:highlight w:val="none"/>
        </w:rPr>
        <w:t>，</w:t>
      </w:r>
      <w:r>
        <w:rPr>
          <w:rFonts w:hint="eastAsia"/>
          <w:color w:val="auto"/>
          <w:highlight w:val="none"/>
        </w:rPr>
        <w:t>不使用“国立”“中央”等字眼，</w:t>
      </w:r>
      <w:r>
        <w:rPr>
          <w:rFonts w:hint="eastAsia" w:ascii="宋体" w:hAnsi="宋体" w:cs="宋体"/>
          <w:color w:val="auto"/>
          <w:kern w:val="0"/>
          <w:szCs w:val="21"/>
          <w:highlight w:val="none"/>
        </w:rPr>
        <w:t>例如：</w:t>
      </w:r>
      <w:r>
        <w:rPr>
          <w:rFonts w:hint="eastAsia"/>
          <w:color w:val="auto"/>
          <w:highlight w:val="none"/>
        </w:rPr>
        <w:t>“《国立台湾大学法学论丛》”按惯例称为“《台大法学论丛》”；</w:t>
      </w:r>
      <w:r>
        <w:rPr>
          <w:rFonts w:hint="eastAsia" w:ascii="宋体" w:hAnsi="宋体" w:cs="宋体"/>
          <w:color w:val="auto"/>
          <w:kern w:val="0"/>
          <w:szCs w:val="21"/>
          <w:highlight w:val="none"/>
        </w:rPr>
        <w:t>不使用“</w:t>
      </w:r>
      <w:r>
        <w:rPr>
          <w:rFonts w:ascii="宋体" w:hAnsi="宋体" w:cs="宋体"/>
          <w:color w:val="auto"/>
          <w:kern w:val="0"/>
          <w:szCs w:val="21"/>
          <w:highlight w:val="none"/>
        </w:rPr>
        <w:t>[台]”或者“（台）”，可以在出版或者发行机构前加注“台湾”二字。</w:t>
      </w:r>
    </w:p>
    <w:p w14:paraId="4C489F59">
      <w:pPr>
        <w:ind w:firstLine="480" w:firstLineChars="200"/>
        <w:rPr>
          <w:color w:val="auto"/>
          <w:highlight w:val="none"/>
        </w:rPr>
      </w:pPr>
      <w:r>
        <w:rPr>
          <w:rFonts w:hint="eastAsia"/>
          <w:color w:val="auto"/>
          <w:highlight w:val="none"/>
        </w:rPr>
        <w:t>我国台湾地区学者自己出版发行的图书，没有出版机构的，可以只标“自版发行”；年份写公元年版。例如：</w:t>
      </w:r>
    </w:p>
    <w:p w14:paraId="6B83C268">
      <w:pPr>
        <w:ind w:firstLine="480" w:firstLineChars="200"/>
        <w:rPr>
          <w:rFonts w:ascii="仿宋" w:hAnsi="仿宋" w:eastAsia="仿宋"/>
          <w:color w:val="auto"/>
          <w:highlight w:val="none"/>
        </w:rPr>
      </w:pPr>
      <w:r>
        <w:rPr>
          <w:rFonts w:hint="eastAsia" w:ascii="仿宋" w:hAnsi="仿宋" w:eastAsia="仿宋"/>
          <w:color w:val="auto"/>
          <w:highlight w:val="none"/>
        </w:rPr>
        <w:t>陈敏：《行政法总论》，</w:t>
      </w:r>
      <w:r>
        <w:rPr>
          <w:rFonts w:eastAsia="仿宋" w:cs="Times New Roman"/>
          <w:color w:val="auto"/>
          <w:highlight w:val="none"/>
        </w:rPr>
        <w:t>1998</w:t>
      </w:r>
      <w:r>
        <w:rPr>
          <w:rFonts w:hint="eastAsia" w:ascii="仿宋" w:hAnsi="仿宋" w:eastAsia="仿宋"/>
          <w:color w:val="auto"/>
          <w:highlight w:val="none"/>
        </w:rPr>
        <w:t>年自版发行。</w:t>
      </w:r>
    </w:p>
    <w:p w14:paraId="2583A3D9">
      <w:pPr>
        <w:ind w:firstLine="480" w:firstLineChars="200"/>
        <w:rPr>
          <w:color w:val="auto"/>
          <w:highlight w:val="none"/>
        </w:rPr>
      </w:pPr>
      <w:r>
        <w:rPr>
          <w:rFonts w:hint="eastAsia"/>
          <w:color w:val="auto"/>
          <w:highlight w:val="none"/>
        </w:rPr>
        <w:t>我国台湾地区期刊卷、期的标注方式从各期刊，年份用括号标明公元年。例如：</w:t>
      </w:r>
    </w:p>
    <w:p w14:paraId="2FD2B603">
      <w:pPr>
        <w:ind w:firstLine="480" w:firstLineChars="200"/>
        <w:rPr>
          <w:rFonts w:ascii="仿宋" w:hAnsi="仿宋" w:eastAsia="仿宋"/>
          <w:color w:val="auto"/>
          <w:highlight w:val="none"/>
        </w:rPr>
      </w:pPr>
      <w:r>
        <w:rPr>
          <w:rFonts w:hint="eastAsia" w:ascii="仿宋" w:hAnsi="仿宋" w:eastAsia="仿宋"/>
          <w:color w:val="auto"/>
          <w:highlight w:val="none"/>
        </w:rPr>
        <w:t>《台大法学论丛》第</w:t>
      </w:r>
      <w:r>
        <w:rPr>
          <w:rFonts w:eastAsia="仿宋" w:cs="Times New Roman"/>
          <w:color w:val="auto"/>
          <w:highlight w:val="none"/>
        </w:rPr>
        <w:t>47</w:t>
      </w:r>
      <w:r>
        <w:rPr>
          <w:rFonts w:hint="eastAsia" w:eastAsia="仿宋" w:cs="Times New Roman"/>
          <w:color w:val="auto"/>
          <w:highlight w:val="none"/>
        </w:rPr>
        <w:t>卷第</w:t>
      </w:r>
      <w:r>
        <w:rPr>
          <w:rFonts w:eastAsia="仿宋" w:cs="Times New Roman"/>
          <w:color w:val="auto"/>
          <w:highlight w:val="none"/>
        </w:rPr>
        <w:t>4</w:t>
      </w:r>
      <w:r>
        <w:rPr>
          <w:rFonts w:hint="eastAsia" w:eastAsia="仿宋" w:cs="Times New Roman"/>
          <w:color w:val="auto"/>
          <w:highlight w:val="none"/>
        </w:rPr>
        <w:t>期（</w:t>
      </w:r>
      <w:r>
        <w:rPr>
          <w:rFonts w:eastAsia="仿宋" w:cs="Times New Roman"/>
          <w:color w:val="auto"/>
          <w:highlight w:val="none"/>
        </w:rPr>
        <w:t>2018</w:t>
      </w:r>
      <w:r>
        <w:rPr>
          <w:rFonts w:hint="eastAsia" w:ascii="仿宋" w:hAnsi="仿宋" w:eastAsia="仿宋"/>
          <w:color w:val="auto"/>
          <w:highlight w:val="none"/>
        </w:rPr>
        <w:t>年）</w:t>
      </w:r>
    </w:p>
    <w:p w14:paraId="70EE7693">
      <w:pPr>
        <w:ind w:firstLine="480" w:firstLineChars="200"/>
        <w:rPr>
          <w:rFonts w:ascii="仿宋" w:hAnsi="仿宋" w:eastAsia="仿宋"/>
          <w:color w:val="auto"/>
          <w:highlight w:val="none"/>
        </w:rPr>
      </w:pPr>
      <w:r>
        <w:rPr>
          <w:rFonts w:hint="eastAsia" w:ascii="仿宋" w:hAnsi="仿宋" w:eastAsia="仿宋"/>
          <w:color w:val="auto"/>
          <w:highlight w:val="none"/>
        </w:rPr>
        <w:t>《政大法学评论》第</w:t>
      </w:r>
      <w:r>
        <w:rPr>
          <w:rFonts w:eastAsia="仿宋" w:cs="Times New Roman"/>
          <w:color w:val="auto"/>
          <w:highlight w:val="none"/>
        </w:rPr>
        <w:t>132</w:t>
      </w:r>
      <w:r>
        <w:rPr>
          <w:rFonts w:hint="eastAsia" w:eastAsia="仿宋" w:cs="Times New Roman"/>
          <w:color w:val="auto"/>
          <w:highlight w:val="none"/>
        </w:rPr>
        <w:t>期（</w:t>
      </w:r>
      <w:r>
        <w:rPr>
          <w:rFonts w:eastAsia="仿宋" w:cs="Times New Roman"/>
          <w:color w:val="auto"/>
          <w:highlight w:val="none"/>
        </w:rPr>
        <w:t>2013</w:t>
      </w:r>
      <w:r>
        <w:rPr>
          <w:rFonts w:hint="eastAsia" w:ascii="仿宋" w:hAnsi="仿宋" w:eastAsia="仿宋"/>
          <w:color w:val="auto"/>
          <w:highlight w:val="none"/>
        </w:rPr>
        <w:t>年）</w:t>
      </w:r>
    </w:p>
    <w:p w14:paraId="5F7845C1">
      <w:pPr>
        <w:widowControl/>
        <w:shd w:val="clear" w:color="auto" w:fill="FFFFFF"/>
        <w:spacing w:line="420" w:lineRule="atLeast"/>
        <w:ind w:firstLine="480" w:firstLineChars="200"/>
        <w:jc w:val="left"/>
        <w:rPr>
          <w:rFonts w:ascii="宋体" w:hAnsi="宋体" w:cs="宋体"/>
          <w:color w:val="auto"/>
          <w:kern w:val="0"/>
          <w:szCs w:val="21"/>
          <w:highlight w:val="none"/>
        </w:rPr>
      </w:pPr>
      <w:r>
        <w:rPr>
          <w:rFonts w:ascii="宋体" w:hAnsi="宋体" w:cs="宋体"/>
          <w:color w:val="auto"/>
          <w:kern w:val="0"/>
          <w:szCs w:val="21"/>
          <w:highlight w:val="none"/>
        </w:rPr>
        <w:t>引用台湾地区的“法律”等应使用引号（“＊＊”），而不是书名号（《＊＊》）。提及台湾地区的“官方机构”应加引号（“＊＊”）。文中不使用“中华民国”字样。</w:t>
      </w:r>
      <w:r>
        <w:rPr>
          <w:rFonts w:hint="eastAsia" w:ascii="宋体" w:hAnsi="宋体" w:cs="宋体"/>
          <w:color w:val="auto"/>
          <w:kern w:val="0"/>
          <w:szCs w:val="21"/>
          <w:highlight w:val="none"/>
        </w:rPr>
        <w:t>例如：</w:t>
      </w:r>
    </w:p>
    <w:p w14:paraId="07F425A9">
      <w:pPr>
        <w:ind w:firstLine="480" w:firstLineChars="200"/>
        <w:rPr>
          <w:rFonts w:ascii="仿宋" w:hAnsi="仿宋" w:eastAsia="仿宋"/>
          <w:color w:val="auto"/>
          <w:highlight w:val="none"/>
        </w:rPr>
      </w:pPr>
      <w:r>
        <w:rPr>
          <w:rFonts w:hint="eastAsia" w:ascii="仿宋" w:hAnsi="仿宋" w:eastAsia="仿宋"/>
          <w:color w:val="auto"/>
          <w:highlight w:val="none"/>
        </w:rPr>
        <w:t>我国台湾地区“法务部”正式公布的“个人资料保护法”第</w:t>
      </w:r>
      <w:r>
        <w:rPr>
          <w:rFonts w:eastAsia="仿宋" w:cs="Times New Roman"/>
          <w:color w:val="auto"/>
          <w:highlight w:val="none"/>
        </w:rPr>
        <w:t>28</w:t>
      </w:r>
      <w:r>
        <w:rPr>
          <w:rFonts w:hint="eastAsia" w:ascii="仿宋" w:hAnsi="仿宋" w:eastAsia="仿宋"/>
          <w:color w:val="auto"/>
          <w:highlight w:val="none"/>
        </w:rPr>
        <w:t>条的条目为“公务机关违法之损害赔偿”。</w:t>
      </w:r>
    </w:p>
    <w:p w14:paraId="2072EF15">
      <w:pPr>
        <w:ind w:firstLine="482" w:firstLineChars="200"/>
        <w:rPr>
          <w:b/>
          <w:color w:val="auto"/>
          <w:highlight w:val="none"/>
        </w:rPr>
      </w:pPr>
      <w:r>
        <w:rPr>
          <w:b/>
          <w:color w:val="auto"/>
          <w:highlight w:val="none"/>
        </w:rPr>
        <w:t xml:space="preserve">7. </w:t>
      </w:r>
      <w:r>
        <w:rPr>
          <w:rFonts w:hint="eastAsia"/>
          <w:b/>
          <w:color w:val="auto"/>
          <w:highlight w:val="none"/>
        </w:rPr>
        <w:t>网络资料类、微信公号文章</w:t>
      </w:r>
    </w:p>
    <w:p w14:paraId="0F52F094">
      <w:pPr>
        <w:ind w:firstLine="480" w:firstLineChars="200"/>
        <w:rPr>
          <w:rFonts w:ascii="仿宋" w:hAnsi="仿宋" w:eastAsia="仿宋"/>
          <w:color w:val="auto"/>
          <w:highlight w:val="none"/>
        </w:rPr>
      </w:pPr>
      <w:r>
        <w:rPr>
          <w:rFonts w:hint="eastAsia" w:ascii="仿宋" w:hAnsi="仿宋" w:eastAsia="仿宋"/>
          <w:color w:val="auto"/>
          <w:highlight w:val="none"/>
        </w:rPr>
        <w:t>作者：《资料名》，网站名，直接链接的网址，最后访问日期：****年*月*日</w:t>
      </w:r>
      <w:r>
        <w:rPr>
          <w:rFonts w:ascii="仿宋" w:hAnsi="仿宋" w:eastAsia="仿宋"/>
          <w:color w:val="auto"/>
          <w:highlight w:val="none"/>
        </w:rPr>
        <w:t>。</w:t>
      </w:r>
    </w:p>
    <w:p w14:paraId="5F35DEEE">
      <w:pPr>
        <w:ind w:firstLine="480" w:firstLineChars="200"/>
        <w:rPr>
          <w:rFonts w:ascii="仿宋" w:hAnsi="仿宋" w:eastAsia="仿宋"/>
          <w:color w:val="auto"/>
          <w:highlight w:val="none"/>
        </w:rPr>
      </w:pPr>
      <w:r>
        <w:rPr>
          <w:rFonts w:hint="eastAsia" w:ascii="仿宋" w:hAnsi="仿宋" w:eastAsia="仿宋"/>
          <w:color w:val="auto"/>
          <w:highlight w:val="none"/>
        </w:rPr>
        <w:t>《中共中央</w:t>
      </w:r>
      <w:r>
        <w:rPr>
          <w:rFonts w:ascii="仿宋" w:hAnsi="仿宋" w:eastAsia="仿宋"/>
          <w:color w:val="auto"/>
          <w:highlight w:val="none"/>
        </w:rPr>
        <w:t xml:space="preserve"> </w:t>
      </w:r>
      <w:r>
        <w:rPr>
          <w:rFonts w:hint="eastAsia" w:ascii="仿宋" w:hAnsi="仿宋" w:eastAsia="仿宋"/>
          <w:color w:val="auto"/>
          <w:highlight w:val="none"/>
        </w:rPr>
        <w:t>国务院印发〈知识产权强国建设纲要（</w:t>
      </w:r>
      <w:r>
        <w:rPr>
          <w:rFonts w:eastAsia="仿宋" w:cs="Times New Roman"/>
          <w:color w:val="auto"/>
          <w:highlight w:val="none"/>
        </w:rPr>
        <w:t>2021</w:t>
      </w:r>
      <w:r>
        <w:rPr>
          <w:rFonts w:hint="eastAsia" w:eastAsia="仿宋" w:cs="Times New Roman"/>
          <w:color w:val="auto"/>
          <w:highlight w:val="none"/>
        </w:rPr>
        <w:t>－</w:t>
      </w:r>
      <w:r>
        <w:rPr>
          <w:rFonts w:eastAsia="仿宋" w:cs="Times New Roman"/>
          <w:color w:val="auto"/>
          <w:highlight w:val="none"/>
        </w:rPr>
        <w:t>2035</w:t>
      </w:r>
      <w:r>
        <w:rPr>
          <w:rFonts w:hint="eastAsia" w:ascii="仿宋" w:hAnsi="仿宋" w:eastAsia="仿宋"/>
          <w:color w:val="auto"/>
          <w:highlight w:val="none"/>
        </w:rPr>
        <w:t>年）〉》，载国家知识产权局官网，</w:t>
      </w:r>
      <w:r>
        <w:rPr>
          <w:rFonts w:eastAsia="仿宋" w:cs="Times New Roman"/>
          <w:color w:val="auto"/>
          <w:highlight w:val="none"/>
        </w:rPr>
        <w:t>http://www.cnipa.gov.cn/art/2021/9/23/art_2742_170305.html</w:t>
      </w:r>
      <w:r>
        <w:rPr>
          <w:rFonts w:hint="eastAsia" w:ascii="仿宋" w:hAnsi="仿宋" w:eastAsia="仿宋"/>
          <w:color w:val="auto"/>
          <w:highlight w:val="none"/>
        </w:rPr>
        <w:t>，最后访问日期：</w:t>
      </w:r>
      <w:r>
        <w:rPr>
          <w:rFonts w:eastAsia="仿宋" w:cs="Times New Roman"/>
          <w:color w:val="auto"/>
          <w:highlight w:val="none"/>
        </w:rPr>
        <w:t>2022</w:t>
      </w:r>
      <w:r>
        <w:rPr>
          <w:rFonts w:hint="eastAsia" w:eastAsia="仿宋" w:cs="Times New Roman"/>
          <w:color w:val="auto"/>
          <w:highlight w:val="none"/>
        </w:rPr>
        <w:t>年</w:t>
      </w:r>
      <w:r>
        <w:rPr>
          <w:rFonts w:eastAsia="仿宋" w:cs="Times New Roman"/>
          <w:color w:val="auto"/>
          <w:highlight w:val="none"/>
        </w:rPr>
        <w:t>6</w:t>
      </w:r>
      <w:r>
        <w:rPr>
          <w:rFonts w:hint="eastAsia" w:eastAsia="仿宋" w:cs="Times New Roman"/>
          <w:color w:val="auto"/>
          <w:highlight w:val="none"/>
        </w:rPr>
        <w:t>月</w:t>
      </w:r>
      <w:r>
        <w:rPr>
          <w:rFonts w:eastAsia="仿宋" w:cs="Times New Roman"/>
          <w:color w:val="auto"/>
          <w:highlight w:val="none"/>
        </w:rPr>
        <w:t>1</w:t>
      </w:r>
      <w:r>
        <w:rPr>
          <w:rFonts w:hint="eastAsia" w:eastAsia="仿宋" w:cs="Times New Roman"/>
          <w:color w:val="auto"/>
          <w:highlight w:val="none"/>
        </w:rPr>
        <w:t>日</w:t>
      </w:r>
      <w:r>
        <w:rPr>
          <w:rFonts w:hint="eastAsia" w:ascii="仿宋" w:hAnsi="仿宋" w:eastAsia="仿宋"/>
          <w:color w:val="auto"/>
          <w:highlight w:val="none"/>
        </w:rPr>
        <w:t>。</w:t>
      </w:r>
    </w:p>
    <w:p w14:paraId="4CAC58F5">
      <w:pPr>
        <w:ind w:firstLine="480" w:firstLineChars="200"/>
        <w:rPr>
          <w:rFonts w:ascii="仿宋" w:hAnsi="仿宋" w:eastAsia="仿宋"/>
          <w:color w:val="auto"/>
          <w:highlight w:val="none"/>
        </w:rPr>
      </w:pPr>
      <w:r>
        <w:rPr>
          <w:rFonts w:hint="eastAsia" w:ascii="仿宋" w:hAnsi="仿宋" w:eastAsia="仿宋"/>
          <w:color w:val="auto"/>
          <w:highlight w:val="none"/>
        </w:rPr>
        <w:t>赵耀彤：《一名基层法官眼里好律师的样子》，载微信公号“中国法律评论”，</w:t>
      </w:r>
      <w:r>
        <w:rPr>
          <w:rFonts w:eastAsia="仿宋" w:cs="Times New Roman"/>
          <w:color w:val="auto"/>
          <w:highlight w:val="none"/>
        </w:rPr>
        <w:t>2018</w:t>
      </w:r>
      <w:r>
        <w:rPr>
          <w:rFonts w:hint="eastAsia" w:eastAsia="仿宋" w:cs="Times New Roman"/>
          <w:color w:val="auto"/>
          <w:highlight w:val="none"/>
        </w:rPr>
        <w:t>年</w:t>
      </w:r>
      <w:r>
        <w:rPr>
          <w:rFonts w:eastAsia="仿宋" w:cs="Times New Roman"/>
          <w:color w:val="auto"/>
          <w:highlight w:val="none"/>
        </w:rPr>
        <w:t>12</w:t>
      </w:r>
      <w:r>
        <w:rPr>
          <w:rFonts w:hint="eastAsia" w:eastAsia="仿宋" w:cs="Times New Roman"/>
          <w:color w:val="auto"/>
          <w:highlight w:val="none"/>
        </w:rPr>
        <w:t>月</w:t>
      </w:r>
      <w:r>
        <w:rPr>
          <w:rFonts w:eastAsia="仿宋" w:cs="Times New Roman"/>
          <w:color w:val="auto"/>
          <w:highlight w:val="none"/>
        </w:rPr>
        <w:t>1</w:t>
      </w:r>
      <w:r>
        <w:rPr>
          <w:rFonts w:hint="eastAsia" w:eastAsia="仿宋" w:cs="Times New Roman"/>
          <w:color w:val="auto"/>
          <w:highlight w:val="none"/>
        </w:rPr>
        <w:t>日</w:t>
      </w:r>
      <w:r>
        <w:rPr>
          <w:rFonts w:hint="eastAsia" w:ascii="仿宋" w:hAnsi="仿宋" w:eastAsia="仿宋"/>
          <w:color w:val="auto"/>
          <w:highlight w:val="none"/>
        </w:rPr>
        <w:t>上传。</w:t>
      </w:r>
    </w:p>
    <w:p w14:paraId="1900E438">
      <w:pPr>
        <w:ind w:firstLine="482" w:firstLineChars="200"/>
        <w:rPr>
          <w:b/>
          <w:color w:val="auto"/>
          <w:highlight w:val="none"/>
        </w:rPr>
      </w:pPr>
    </w:p>
    <w:p w14:paraId="0AF042BE">
      <w:pPr>
        <w:ind w:firstLine="482" w:firstLineChars="200"/>
        <w:rPr>
          <w:b/>
          <w:color w:val="auto"/>
          <w:highlight w:val="none"/>
        </w:rPr>
      </w:pPr>
      <w:r>
        <w:rPr>
          <w:b/>
          <w:color w:val="auto"/>
          <w:highlight w:val="none"/>
        </w:rPr>
        <w:t xml:space="preserve">8. </w:t>
      </w:r>
      <w:r>
        <w:rPr>
          <w:rFonts w:hint="eastAsia"/>
          <w:b/>
          <w:color w:val="auto"/>
          <w:highlight w:val="none"/>
        </w:rPr>
        <w:t>古籍</w:t>
      </w:r>
    </w:p>
    <w:p w14:paraId="4151DB08">
      <w:pPr>
        <w:ind w:firstLine="480" w:firstLineChars="200"/>
        <w:rPr>
          <w:color w:val="auto"/>
          <w:highlight w:val="none"/>
        </w:rPr>
      </w:pPr>
      <w:r>
        <w:rPr>
          <w:rFonts w:hint="eastAsia"/>
          <w:color w:val="auto"/>
          <w:highlight w:val="none"/>
        </w:rPr>
        <w:t>传统的刻本、抄本，应当标明版本信息；现代出版的标点本、整理本、影印本，也可根据需要标注出版方式。例如：</w:t>
      </w:r>
    </w:p>
    <w:p w14:paraId="7F61EA1E">
      <w:pPr>
        <w:ind w:firstLine="480" w:firstLineChars="200"/>
        <w:rPr>
          <w:color w:val="auto"/>
          <w:highlight w:val="none"/>
        </w:rPr>
      </w:pPr>
      <w:r>
        <w:rPr>
          <w:rFonts w:hint="eastAsia" w:ascii="仿宋" w:hAnsi="仿宋" w:eastAsia="仿宋"/>
          <w:color w:val="auto"/>
          <w:highlight w:val="none"/>
        </w:rPr>
        <w:t>姚际恒：《古今伪书考》卷三，光绪三年（</w:t>
      </w:r>
      <w:r>
        <w:rPr>
          <w:rFonts w:eastAsia="仿宋" w:cs="Times New Roman"/>
          <w:color w:val="auto"/>
          <w:highlight w:val="none"/>
        </w:rPr>
        <w:t>1877</w:t>
      </w:r>
      <w:r>
        <w:rPr>
          <w:rFonts w:hint="eastAsia" w:ascii="仿宋" w:hAnsi="仿宋" w:eastAsia="仿宋"/>
          <w:color w:val="auto"/>
          <w:highlight w:val="none"/>
        </w:rPr>
        <w:t>年）苏州文学山房活字本。</w:t>
      </w:r>
    </w:p>
    <w:p w14:paraId="60ADBC46">
      <w:pPr>
        <w:ind w:firstLine="480" w:firstLineChars="200"/>
        <w:rPr>
          <w:color w:val="auto"/>
          <w:highlight w:val="none"/>
        </w:rPr>
      </w:pPr>
      <w:r>
        <w:rPr>
          <w:rFonts w:hint="eastAsia"/>
          <w:color w:val="auto"/>
          <w:highlight w:val="none"/>
        </w:rPr>
        <w:t>引用常用基本典籍，不涉及内容争议的，可以省略出版信息，并且采用夹注的形式（附在引文末，无需添加脚注）。例如：</w:t>
      </w:r>
    </w:p>
    <w:p w14:paraId="00DDC601">
      <w:pPr>
        <w:ind w:firstLine="480" w:firstLineChars="200"/>
        <w:rPr>
          <w:color w:val="auto"/>
          <w:highlight w:val="none"/>
        </w:rPr>
      </w:pPr>
      <w:r>
        <w:rPr>
          <w:rFonts w:hint="eastAsia" w:ascii="仿宋" w:hAnsi="仿宋" w:eastAsia="仿宋"/>
          <w:color w:val="auto"/>
          <w:highlight w:val="none"/>
        </w:rPr>
        <w:t>子曰：“志于道，据于德，依于仁，游于艺。”（《论语·述而篇》）</w:t>
      </w:r>
    </w:p>
    <w:p w14:paraId="3CC1FD04">
      <w:pPr>
        <w:ind w:firstLine="480" w:firstLineChars="200"/>
        <w:rPr>
          <w:color w:val="auto"/>
          <w:highlight w:val="none"/>
        </w:rPr>
      </w:pPr>
    </w:p>
    <w:p w14:paraId="1F38AA2E">
      <w:pPr>
        <w:ind w:firstLine="482" w:firstLineChars="200"/>
        <w:rPr>
          <w:b/>
          <w:color w:val="auto"/>
          <w:highlight w:val="none"/>
        </w:rPr>
      </w:pPr>
      <w:r>
        <w:rPr>
          <w:b/>
          <w:color w:val="auto"/>
          <w:highlight w:val="none"/>
        </w:rPr>
        <w:t xml:space="preserve">9. </w:t>
      </w:r>
      <w:r>
        <w:rPr>
          <w:rFonts w:hint="eastAsia"/>
          <w:b/>
          <w:color w:val="auto"/>
          <w:highlight w:val="none"/>
        </w:rPr>
        <w:t>法律文件</w:t>
      </w:r>
    </w:p>
    <w:p w14:paraId="05077F6F">
      <w:pPr>
        <w:widowControl/>
        <w:shd w:val="clear" w:color="auto" w:fill="FFFFFF"/>
        <w:spacing w:line="420" w:lineRule="atLeast"/>
        <w:ind w:firstLine="480" w:firstLineChars="200"/>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w:t>
      </w:r>
      <w:r>
        <w:rPr>
          <w:rFonts w:cs="Times New Roman"/>
          <w:color w:val="auto"/>
          <w:kern w:val="0"/>
          <w:szCs w:val="21"/>
          <w:highlight w:val="none"/>
        </w:rPr>
        <w:t>1</w:t>
      </w:r>
      <w:r>
        <w:rPr>
          <w:rFonts w:hint="eastAsia" w:ascii="宋体" w:hAnsi="宋体" w:cs="宋体"/>
          <w:color w:val="auto"/>
          <w:kern w:val="0"/>
          <w:szCs w:val="21"/>
          <w:highlight w:val="none"/>
        </w:rPr>
        <w:t>）正文中提及我国法律、法规、规章的规定，应直接列明其名称和条文序号，不需要用注释标明出处；</w:t>
      </w:r>
      <w:r>
        <w:rPr>
          <w:rFonts w:hint="eastAsia"/>
          <w:color w:val="auto"/>
          <w:highlight w:val="none"/>
        </w:rPr>
        <w:t>不引起误解的情况下，法律文件名称中的“中华人民共和国”可以省略，无需特别说明。例如，《中华人民共和国治安管理处罚法》略写为《治安管理处罚法》。</w:t>
      </w:r>
      <w:r>
        <w:rPr>
          <w:rFonts w:hint="eastAsia" w:ascii="宋体" w:hAnsi="宋体" w:cs="宋体"/>
          <w:color w:val="auto"/>
          <w:kern w:val="0"/>
          <w:szCs w:val="21"/>
          <w:highlight w:val="none"/>
        </w:rPr>
        <w:t>条文的内容超过</w:t>
      </w:r>
      <w:r>
        <w:rPr>
          <w:rFonts w:ascii="宋体" w:hAnsi="宋体" w:cs="宋体"/>
          <w:color w:val="auto"/>
          <w:kern w:val="0"/>
          <w:szCs w:val="21"/>
          <w:highlight w:val="none"/>
        </w:rPr>
        <w:t>150字的，应作为注释而不写入正文。</w:t>
      </w:r>
    </w:p>
    <w:p w14:paraId="3702FFDC">
      <w:pPr>
        <w:widowControl/>
        <w:shd w:val="clear" w:color="auto" w:fill="FFFFFF"/>
        <w:spacing w:line="420" w:lineRule="atLeast"/>
        <w:ind w:firstLine="48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w:t>
      </w:r>
      <w:r>
        <w:rPr>
          <w:rFonts w:cs="Times New Roman"/>
          <w:color w:val="auto"/>
          <w:kern w:val="0"/>
          <w:szCs w:val="21"/>
          <w:highlight w:val="none"/>
        </w:rPr>
        <w:t>2</w:t>
      </w:r>
      <w:r>
        <w:rPr>
          <w:rFonts w:hint="eastAsia" w:ascii="宋体" w:hAnsi="宋体" w:cs="宋体"/>
          <w:color w:val="auto"/>
          <w:kern w:val="0"/>
          <w:szCs w:val="21"/>
          <w:highlight w:val="none"/>
        </w:rPr>
        <w:t>）正文中提及我国规范性文件的规定，应使用注释标注发文机关、文件名和文号，例如，《国务院关于在市场体系建设中建立公平竞争审查制度的意见》（国发</w:t>
      </w:r>
      <w:r>
        <w:rPr>
          <w:rFonts w:hint="eastAsia" w:cs="Times New Roman"/>
          <w:color w:val="auto"/>
          <w:kern w:val="0"/>
          <w:szCs w:val="21"/>
          <w:highlight w:val="none"/>
        </w:rPr>
        <w:t>〔</w:t>
      </w:r>
      <w:r>
        <w:rPr>
          <w:rFonts w:cs="Times New Roman"/>
          <w:color w:val="auto"/>
          <w:kern w:val="0"/>
          <w:szCs w:val="21"/>
          <w:highlight w:val="none"/>
        </w:rPr>
        <w:t>2016</w:t>
      </w:r>
      <w:r>
        <w:rPr>
          <w:rFonts w:hint="eastAsia" w:cs="Times New Roman"/>
          <w:color w:val="auto"/>
          <w:kern w:val="0"/>
          <w:szCs w:val="21"/>
          <w:highlight w:val="none"/>
        </w:rPr>
        <w:t>〕</w:t>
      </w:r>
      <w:r>
        <w:rPr>
          <w:rFonts w:cs="Times New Roman"/>
          <w:color w:val="auto"/>
          <w:kern w:val="0"/>
          <w:szCs w:val="21"/>
          <w:highlight w:val="none"/>
        </w:rPr>
        <w:t>34</w:t>
      </w:r>
      <w:r>
        <w:rPr>
          <w:rFonts w:hint="eastAsia" w:ascii="宋体" w:hAnsi="宋体" w:cs="宋体"/>
          <w:color w:val="auto"/>
          <w:kern w:val="0"/>
          <w:szCs w:val="21"/>
          <w:highlight w:val="none"/>
        </w:rPr>
        <w:t>号）。</w:t>
      </w:r>
    </w:p>
    <w:p w14:paraId="4BF7EF71">
      <w:pPr>
        <w:ind w:firstLine="48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法律文件名称较长，文中需要反复提及的，可以使用业内通行的缩略语；缩略语仍加书名号。使用缩略语的，必须在该文件第一次出现时予以说明，“以下简称《××法》”，注意后文再次提及该法律文件的，需要与简写保持一致。</w:t>
      </w:r>
    </w:p>
    <w:p w14:paraId="449E695A">
      <w:pPr>
        <w:ind w:firstLine="48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）法律文件条、款、项、目的序数，用阿拉伯数字，并省略括号。例如：</w:t>
      </w:r>
    </w:p>
    <w:p w14:paraId="5E974066">
      <w:pPr>
        <w:ind w:firstLine="480" w:firstLineChars="200"/>
        <w:rPr>
          <w:color w:val="auto"/>
          <w:highlight w:val="none"/>
        </w:rPr>
      </w:pPr>
      <w:r>
        <w:rPr>
          <w:rFonts w:hint="eastAsia" w:ascii="仿宋" w:hAnsi="仿宋" w:eastAsia="仿宋"/>
          <w:color w:val="auto"/>
          <w:highlight w:val="none"/>
        </w:rPr>
        <w:t>《行政诉讼法》（</w:t>
      </w:r>
      <w:r>
        <w:rPr>
          <w:rFonts w:eastAsia="仿宋" w:cs="Times New Roman"/>
          <w:color w:val="auto"/>
          <w:highlight w:val="none"/>
        </w:rPr>
        <w:t>1989</w:t>
      </w:r>
      <w:r>
        <w:rPr>
          <w:rFonts w:hint="eastAsia" w:eastAsia="仿宋" w:cs="Times New Roman"/>
          <w:color w:val="auto"/>
          <w:highlight w:val="none"/>
        </w:rPr>
        <w:t>年）第</w:t>
      </w:r>
      <w:r>
        <w:rPr>
          <w:rFonts w:eastAsia="仿宋" w:cs="Times New Roman"/>
          <w:color w:val="auto"/>
          <w:highlight w:val="none"/>
        </w:rPr>
        <w:t>54</w:t>
      </w:r>
      <w:r>
        <w:rPr>
          <w:rFonts w:hint="eastAsia" w:eastAsia="仿宋" w:cs="Times New Roman"/>
          <w:color w:val="auto"/>
          <w:highlight w:val="none"/>
        </w:rPr>
        <w:t>条第</w:t>
      </w:r>
      <w:r>
        <w:rPr>
          <w:rFonts w:eastAsia="仿宋" w:cs="Times New Roman"/>
          <w:color w:val="auto"/>
          <w:highlight w:val="none"/>
        </w:rPr>
        <w:t>2</w:t>
      </w:r>
      <w:r>
        <w:rPr>
          <w:rFonts w:hint="eastAsia" w:eastAsia="仿宋" w:cs="Times New Roman"/>
          <w:color w:val="auto"/>
          <w:highlight w:val="none"/>
        </w:rPr>
        <w:t>项第</w:t>
      </w:r>
      <w:r>
        <w:rPr>
          <w:rFonts w:eastAsia="仿宋" w:cs="Times New Roman"/>
          <w:color w:val="auto"/>
          <w:highlight w:val="none"/>
        </w:rPr>
        <w:t>3</w:t>
      </w:r>
      <w:r>
        <w:rPr>
          <w:rFonts w:hint="eastAsia" w:ascii="仿宋" w:hAnsi="仿宋" w:eastAsia="仿宋"/>
          <w:color w:val="auto"/>
          <w:highlight w:val="none"/>
        </w:rPr>
        <w:t>目</w:t>
      </w:r>
    </w:p>
    <w:p w14:paraId="68523614">
      <w:pPr>
        <w:ind w:firstLine="480" w:firstLineChars="200"/>
        <w:rPr>
          <w:color w:val="auto"/>
          <w:highlight w:val="none"/>
        </w:rPr>
      </w:pPr>
      <w:r>
        <w:rPr>
          <w:rFonts w:hint="eastAsia"/>
          <w:color w:val="auto"/>
          <w:highlight w:val="none"/>
        </w:rPr>
        <w:t>（</w:t>
      </w:r>
      <w:r>
        <w:rPr>
          <w:color w:val="auto"/>
          <w:highlight w:val="none"/>
        </w:rPr>
        <w:t>5</w:t>
      </w:r>
      <w:r>
        <w:rPr>
          <w:rFonts w:hint="eastAsia"/>
          <w:color w:val="auto"/>
          <w:highlight w:val="none"/>
        </w:rPr>
        <w:t>）援引最高立法机关的法律条文，一般只需提及该法的名称和条文序数，不必详细标明哪年哪月哪日由几届全国人大常委会几次会议通过、中华人民共和国主席令第几号发布、哪年哪月哪日起施行等信息，更不必标明载于哪个出版社的哪本书上。例如：</w:t>
      </w:r>
    </w:p>
    <w:p w14:paraId="494375B1">
      <w:pPr>
        <w:ind w:firstLine="480" w:firstLineChars="200"/>
        <w:rPr>
          <w:rFonts w:ascii="仿宋" w:hAnsi="仿宋" w:eastAsia="仿宋"/>
          <w:color w:val="auto"/>
          <w:highlight w:val="none"/>
        </w:rPr>
      </w:pPr>
      <w:r>
        <w:rPr>
          <w:rFonts w:hint="eastAsia" w:ascii="仿宋" w:hAnsi="仿宋" w:eastAsia="仿宋"/>
          <w:color w:val="auto"/>
          <w:highlight w:val="none"/>
        </w:rPr>
        <w:t>《行政处罚法》（</w:t>
      </w:r>
      <w:r>
        <w:rPr>
          <w:rFonts w:eastAsia="仿宋" w:cs="Times New Roman"/>
          <w:color w:val="auto"/>
          <w:highlight w:val="none"/>
        </w:rPr>
        <w:t>2017</w:t>
      </w:r>
      <w:r>
        <w:rPr>
          <w:rFonts w:hint="eastAsia" w:ascii="仿宋" w:hAnsi="仿宋" w:eastAsia="仿宋"/>
          <w:color w:val="auto"/>
          <w:highlight w:val="none"/>
        </w:rPr>
        <w:t>年修正）第</w:t>
      </w:r>
      <w:r>
        <w:rPr>
          <w:rFonts w:eastAsia="仿宋" w:cs="Times New Roman"/>
          <w:color w:val="auto"/>
          <w:highlight w:val="none"/>
        </w:rPr>
        <w:t>32</w:t>
      </w:r>
      <w:r>
        <w:rPr>
          <w:rFonts w:hint="eastAsia" w:ascii="仿宋" w:hAnsi="仿宋" w:eastAsia="仿宋"/>
          <w:color w:val="auto"/>
          <w:highlight w:val="none"/>
        </w:rPr>
        <w:t>条</w:t>
      </w:r>
    </w:p>
    <w:p w14:paraId="34F2D935">
      <w:pPr>
        <w:ind w:firstLine="480" w:firstLineChars="200"/>
        <w:rPr>
          <w:color w:val="auto"/>
          <w:highlight w:val="none"/>
        </w:rPr>
      </w:pPr>
      <w:r>
        <w:rPr>
          <w:rFonts w:hint="eastAsia"/>
          <w:color w:val="auto"/>
          <w:highlight w:val="none"/>
        </w:rPr>
        <w:t>（</w:t>
      </w:r>
      <w:r>
        <w:rPr>
          <w:color w:val="auto"/>
          <w:highlight w:val="none"/>
        </w:rPr>
        <w:t>6</w:t>
      </w:r>
      <w:r>
        <w:rPr>
          <w:rFonts w:hint="eastAsia"/>
          <w:color w:val="auto"/>
          <w:highlight w:val="none"/>
        </w:rPr>
        <w:t>）引用全国人大及其常委会通过的法律性质的决定，可以标明决定机关、决定名称、决定时间和会议届次。例如：</w:t>
      </w:r>
    </w:p>
    <w:p w14:paraId="55CD581F">
      <w:pPr>
        <w:ind w:firstLine="480" w:firstLineChars="200"/>
        <w:rPr>
          <w:color w:val="auto"/>
          <w:highlight w:val="none"/>
        </w:rPr>
      </w:pPr>
      <w:r>
        <w:rPr>
          <w:rFonts w:hint="eastAsia" w:ascii="仿宋" w:hAnsi="仿宋" w:eastAsia="仿宋"/>
          <w:color w:val="auto"/>
          <w:highlight w:val="none"/>
        </w:rPr>
        <w:t>《全国人民代表大会常务委员会关于严禁卖淫嫖娼的决定》，</w:t>
      </w:r>
      <w:r>
        <w:rPr>
          <w:rFonts w:eastAsia="仿宋" w:cs="Times New Roman"/>
          <w:color w:val="auto"/>
          <w:highlight w:val="none"/>
        </w:rPr>
        <w:t>1991</w:t>
      </w:r>
      <w:r>
        <w:rPr>
          <w:rFonts w:hint="eastAsia" w:eastAsia="仿宋" w:cs="Times New Roman"/>
          <w:color w:val="auto"/>
          <w:highlight w:val="none"/>
        </w:rPr>
        <w:t>年</w:t>
      </w:r>
      <w:r>
        <w:rPr>
          <w:rFonts w:eastAsia="仿宋" w:cs="Times New Roman"/>
          <w:color w:val="auto"/>
          <w:highlight w:val="none"/>
        </w:rPr>
        <w:t>9</w:t>
      </w:r>
      <w:r>
        <w:rPr>
          <w:rFonts w:hint="eastAsia" w:eastAsia="仿宋" w:cs="Times New Roman"/>
          <w:color w:val="auto"/>
          <w:highlight w:val="none"/>
        </w:rPr>
        <w:t>月</w:t>
      </w:r>
      <w:r>
        <w:rPr>
          <w:rFonts w:eastAsia="仿宋" w:cs="Times New Roman"/>
          <w:color w:val="auto"/>
          <w:highlight w:val="none"/>
        </w:rPr>
        <w:t>4</w:t>
      </w:r>
      <w:r>
        <w:rPr>
          <w:rFonts w:hint="eastAsia" w:eastAsia="仿宋" w:cs="Times New Roman"/>
          <w:color w:val="auto"/>
          <w:highlight w:val="none"/>
        </w:rPr>
        <w:t>日</w:t>
      </w:r>
      <w:r>
        <w:rPr>
          <w:rFonts w:hint="eastAsia" w:ascii="仿宋" w:hAnsi="仿宋" w:eastAsia="仿宋"/>
          <w:color w:val="auto"/>
          <w:highlight w:val="none"/>
        </w:rPr>
        <w:t>第七届全国人大常委会第二十一次会议通过。</w:t>
      </w:r>
    </w:p>
    <w:p w14:paraId="0E8FA9B1">
      <w:pPr>
        <w:ind w:firstLine="480" w:firstLineChars="200"/>
        <w:rPr>
          <w:color w:val="auto"/>
          <w:highlight w:val="none"/>
        </w:rPr>
      </w:pPr>
      <w:r>
        <w:rPr>
          <w:rFonts w:hint="eastAsia"/>
          <w:color w:val="auto"/>
          <w:highlight w:val="none"/>
        </w:rPr>
        <w:t>（</w:t>
      </w:r>
      <w:r>
        <w:rPr>
          <w:color w:val="auto"/>
          <w:highlight w:val="none"/>
        </w:rPr>
        <w:t>7</w:t>
      </w:r>
      <w:r>
        <w:rPr>
          <w:rFonts w:hint="eastAsia"/>
          <w:color w:val="auto"/>
          <w:highlight w:val="none"/>
        </w:rPr>
        <w:t>）援引法规、规章的条文，参照法律。必要时，可以进一步标明该法规、规章的制定机关和年份。例如：</w:t>
      </w:r>
    </w:p>
    <w:p w14:paraId="4529C79B">
      <w:pPr>
        <w:ind w:firstLine="480" w:firstLineChars="200"/>
        <w:rPr>
          <w:rFonts w:ascii="仿宋" w:hAnsi="仿宋" w:eastAsia="仿宋"/>
          <w:color w:val="auto"/>
          <w:highlight w:val="none"/>
        </w:rPr>
      </w:pPr>
      <w:r>
        <w:rPr>
          <w:rFonts w:hint="eastAsia" w:ascii="仿宋" w:hAnsi="仿宋" w:eastAsia="仿宋"/>
          <w:color w:val="auto"/>
          <w:highlight w:val="none"/>
        </w:rPr>
        <w:t>《中华人民共和国增值税条例（草案）》，</w:t>
      </w:r>
      <w:r>
        <w:rPr>
          <w:rFonts w:eastAsia="仿宋" w:cs="Times New Roman"/>
          <w:color w:val="auto"/>
          <w:highlight w:val="none"/>
        </w:rPr>
        <w:t>1984</w:t>
      </w:r>
      <w:r>
        <w:rPr>
          <w:rFonts w:hint="eastAsia" w:eastAsia="仿宋" w:cs="Times New Roman"/>
          <w:color w:val="auto"/>
          <w:highlight w:val="none"/>
        </w:rPr>
        <w:t>年</w:t>
      </w:r>
      <w:r>
        <w:rPr>
          <w:rFonts w:eastAsia="仿宋" w:cs="Times New Roman"/>
          <w:color w:val="auto"/>
          <w:highlight w:val="none"/>
        </w:rPr>
        <w:t>9</w:t>
      </w:r>
      <w:r>
        <w:rPr>
          <w:rFonts w:hint="eastAsia" w:eastAsia="仿宋" w:cs="Times New Roman"/>
          <w:color w:val="auto"/>
          <w:highlight w:val="none"/>
        </w:rPr>
        <w:t>月</w:t>
      </w:r>
      <w:r>
        <w:rPr>
          <w:rFonts w:eastAsia="仿宋" w:cs="Times New Roman"/>
          <w:color w:val="auto"/>
          <w:highlight w:val="none"/>
        </w:rPr>
        <w:t>18</w:t>
      </w:r>
      <w:r>
        <w:rPr>
          <w:rFonts w:hint="eastAsia" w:ascii="仿宋" w:hAnsi="仿宋" w:eastAsia="仿宋"/>
          <w:color w:val="auto"/>
          <w:highlight w:val="none"/>
        </w:rPr>
        <w:t>日国务院发布。</w:t>
      </w:r>
    </w:p>
    <w:p w14:paraId="14EE1B57">
      <w:pPr>
        <w:widowControl/>
        <w:shd w:val="clear" w:color="auto" w:fill="FFFFFF"/>
        <w:spacing w:line="420" w:lineRule="atLeast"/>
        <w:ind w:firstLine="480" w:firstLineChars="200"/>
        <w:jc w:val="left"/>
        <w:rPr>
          <w:rFonts w:ascii="微软雅黑" w:hAnsi="微软雅黑" w:eastAsia="微软雅黑" w:cs="宋体"/>
          <w:color w:val="auto"/>
          <w:kern w:val="0"/>
          <w:szCs w:val="21"/>
          <w:highlight w:val="none"/>
        </w:rPr>
      </w:pPr>
      <w:r>
        <w:rPr>
          <w:rFonts w:hint="eastAsia" w:ascii="宋体" w:hAnsi="宋体" w:cs="宋体"/>
          <w:color w:val="auto"/>
          <w:kern w:val="0"/>
          <w:szCs w:val="21"/>
          <w:highlight w:val="none"/>
        </w:rPr>
        <w:t>（</w:t>
      </w:r>
      <w:r>
        <w:rPr>
          <w:rFonts w:cs="Times New Roman"/>
          <w:color w:val="auto"/>
          <w:kern w:val="0"/>
          <w:szCs w:val="21"/>
          <w:highlight w:val="none"/>
        </w:rPr>
        <w:t>8</w:t>
      </w:r>
      <w:r>
        <w:rPr>
          <w:rFonts w:hint="eastAsia" w:ascii="宋体" w:hAnsi="宋体" w:cs="宋体"/>
          <w:color w:val="auto"/>
          <w:kern w:val="0"/>
          <w:szCs w:val="21"/>
          <w:highlight w:val="none"/>
        </w:rPr>
        <w:t>）正文中提及外国法律的条文，请参考“（三）外文引注示例”。</w:t>
      </w:r>
    </w:p>
    <w:p w14:paraId="47FBF38B">
      <w:pPr>
        <w:ind w:firstLine="482" w:firstLineChars="200"/>
        <w:rPr>
          <w:b/>
          <w:color w:val="auto"/>
          <w:highlight w:val="none"/>
        </w:rPr>
      </w:pPr>
    </w:p>
    <w:p w14:paraId="06D70D56">
      <w:pPr>
        <w:ind w:firstLine="482" w:firstLineChars="200"/>
        <w:rPr>
          <w:b/>
          <w:color w:val="auto"/>
          <w:highlight w:val="none"/>
        </w:rPr>
      </w:pPr>
      <w:r>
        <w:rPr>
          <w:b/>
          <w:color w:val="auto"/>
          <w:highlight w:val="none"/>
        </w:rPr>
        <w:t xml:space="preserve">10. </w:t>
      </w:r>
      <w:r>
        <w:rPr>
          <w:rFonts w:hint="eastAsia"/>
          <w:b/>
          <w:color w:val="auto"/>
          <w:highlight w:val="none"/>
        </w:rPr>
        <w:t>司法案例</w:t>
      </w:r>
    </w:p>
    <w:p w14:paraId="5005D5E1">
      <w:pPr>
        <w:ind w:firstLine="48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）援引案例，优先考虑援引裁判文书。引用案例包括案例名称和案例来源；必要时，可以加上裁判时间。基本格式为：</w:t>
      </w:r>
    </w:p>
    <w:p w14:paraId="35CE8C84">
      <w:pPr>
        <w:ind w:firstLine="480" w:firstLineChars="200"/>
        <w:rPr>
          <w:rFonts w:ascii="仿宋" w:hAnsi="仿宋" w:eastAsia="仿宋"/>
          <w:color w:val="auto"/>
          <w:highlight w:val="none"/>
        </w:rPr>
      </w:pPr>
      <w:r>
        <w:rPr>
          <w:rFonts w:hint="eastAsia" w:ascii="仿宋" w:hAnsi="仿宋" w:eastAsia="仿宋"/>
          <w:color w:val="auto"/>
          <w:highlight w:val="none"/>
        </w:rPr>
        <w:t>王放与五洋建设集团股份有限公司、陈志樟证券虚假陈述责任纠纷案，浙江省杭州市中级人民法院民事判决书，（</w:t>
      </w:r>
      <w:r>
        <w:rPr>
          <w:rFonts w:eastAsia="仿宋" w:cs="Times New Roman"/>
          <w:color w:val="auto"/>
          <w:highlight w:val="none"/>
        </w:rPr>
        <w:t>2020</w:t>
      </w:r>
      <w:r>
        <w:rPr>
          <w:rFonts w:hint="eastAsia" w:ascii="仿宋" w:hAnsi="仿宋" w:eastAsia="仿宋"/>
          <w:color w:val="auto"/>
          <w:highlight w:val="none"/>
        </w:rPr>
        <w:t>）</w:t>
      </w:r>
      <w:r>
        <w:rPr>
          <w:rFonts w:hint="eastAsia" w:eastAsia="仿宋" w:cs="Times New Roman"/>
          <w:color w:val="auto"/>
          <w:highlight w:val="none"/>
        </w:rPr>
        <w:t>浙</w:t>
      </w:r>
      <w:r>
        <w:rPr>
          <w:rFonts w:eastAsia="仿宋" w:cs="Times New Roman"/>
          <w:color w:val="auto"/>
          <w:highlight w:val="none"/>
        </w:rPr>
        <w:t>01</w:t>
      </w:r>
      <w:r>
        <w:rPr>
          <w:rFonts w:hint="eastAsia" w:eastAsia="仿宋" w:cs="Times New Roman"/>
          <w:color w:val="auto"/>
          <w:highlight w:val="none"/>
        </w:rPr>
        <w:t>民初</w:t>
      </w:r>
      <w:r>
        <w:rPr>
          <w:rFonts w:eastAsia="仿宋" w:cs="Times New Roman"/>
          <w:color w:val="auto"/>
          <w:highlight w:val="none"/>
        </w:rPr>
        <w:t>1691</w:t>
      </w:r>
      <w:r>
        <w:rPr>
          <w:rFonts w:hint="eastAsia" w:ascii="仿宋" w:hAnsi="仿宋" w:eastAsia="仿宋"/>
          <w:color w:val="auto"/>
          <w:highlight w:val="none"/>
        </w:rPr>
        <w:t>号。</w:t>
      </w:r>
    </w:p>
    <w:p w14:paraId="51BB4F78">
      <w:pPr>
        <w:ind w:firstLine="48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）一次性列举多个案例，或正文中已经出现案例名称时，援引裁判文书也可以按照以下格式处理：</w:t>
      </w:r>
    </w:p>
    <w:p w14:paraId="28123EED">
      <w:pPr>
        <w:ind w:firstLine="480" w:firstLineChars="200"/>
        <w:rPr>
          <w:rFonts w:ascii="仿宋" w:hAnsi="仿宋" w:eastAsia="仿宋"/>
          <w:color w:val="auto"/>
          <w:highlight w:val="none"/>
        </w:rPr>
      </w:pPr>
      <w:r>
        <w:rPr>
          <w:rFonts w:hint="eastAsia" w:ascii="仿宋" w:hAnsi="仿宋" w:eastAsia="仿宋"/>
          <w:color w:val="auto"/>
          <w:highlight w:val="none"/>
        </w:rPr>
        <w:t>浙江省杭州市中级人民法院民事判决书，</w:t>
      </w:r>
      <w:r>
        <w:rPr>
          <w:rFonts w:hint="eastAsia"/>
          <w:color w:val="auto"/>
          <w:highlight w:val="none"/>
        </w:rPr>
        <w:t>（</w:t>
      </w:r>
      <w:r>
        <w:rPr>
          <w:rFonts w:eastAsia="仿宋" w:cs="Times New Roman"/>
          <w:color w:val="auto"/>
          <w:highlight w:val="none"/>
        </w:rPr>
        <w:t>2020</w:t>
      </w:r>
      <w:r>
        <w:rPr>
          <w:rFonts w:hint="eastAsia"/>
          <w:color w:val="auto"/>
          <w:highlight w:val="none"/>
        </w:rPr>
        <w:t>）</w:t>
      </w:r>
      <w:r>
        <w:rPr>
          <w:rFonts w:hint="eastAsia" w:eastAsia="仿宋" w:cs="Times New Roman"/>
          <w:color w:val="auto"/>
          <w:highlight w:val="none"/>
        </w:rPr>
        <w:t>浙</w:t>
      </w:r>
      <w:r>
        <w:rPr>
          <w:rFonts w:eastAsia="仿宋" w:cs="Times New Roman"/>
          <w:color w:val="auto"/>
          <w:highlight w:val="none"/>
        </w:rPr>
        <w:t>01</w:t>
      </w:r>
      <w:r>
        <w:rPr>
          <w:rFonts w:hint="eastAsia" w:eastAsia="仿宋" w:cs="Times New Roman"/>
          <w:color w:val="auto"/>
          <w:highlight w:val="none"/>
        </w:rPr>
        <w:t>民初</w:t>
      </w:r>
      <w:r>
        <w:rPr>
          <w:rFonts w:eastAsia="仿宋" w:cs="Times New Roman"/>
          <w:color w:val="auto"/>
          <w:highlight w:val="none"/>
        </w:rPr>
        <w:t>1691</w:t>
      </w:r>
      <w:r>
        <w:rPr>
          <w:rFonts w:hint="eastAsia" w:ascii="仿宋" w:hAnsi="仿宋" w:eastAsia="仿宋"/>
          <w:color w:val="auto"/>
          <w:highlight w:val="none"/>
        </w:rPr>
        <w:t>号。</w:t>
      </w:r>
    </w:p>
    <w:p w14:paraId="51B57BBF">
      <w:pPr>
        <w:ind w:firstLine="480" w:firstLineChars="200"/>
        <w:rPr>
          <w:rFonts w:ascii="仿宋" w:hAnsi="仿宋" w:eastAsia="仿宋"/>
          <w:color w:val="auto"/>
          <w:highlight w:val="none"/>
        </w:rPr>
      </w:pPr>
      <w:r>
        <w:rPr>
          <w:rFonts w:hint="eastAsia" w:ascii="仿宋" w:hAnsi="仿宋" w:eastAsia="仿宋"/>
          <w:color w:val="auto"/>
          <w:highlight w:val="none"/>
        </w:rPr>
        <w:t>浙江省杭州市中级人民法院</w:t>
      </w:r>
      <w:r>
        <w:rPr>
          <w:rFonts w:hint="eastAsia"/>
          <w:color w:val="auto"/>
          <w:highlight w:val="none"/>
        </w:rPr>
        <w:t>（</w:t>
      </w:r>
      <w:r>
        <w:rPr>
          <w:rFonts w:eastAsia="仿宋" w:cs="Times New Roman"/>
          <w:color w:val="auto"/>
          <w:highlight w:val="none"/>
        </w:rPr>
        <w:t>2020</w:t>
      </w:r>
      <w:r>
        <w:rPr>
          <w:rFonts w:hint="eastAsia"/>
          <w:color w:val="auto"/>
          <w:highlight w:val="none"/>
        </w:rPr>
        <w:t>）</w:t>
      </w:r>
      <w:r>
        <w:rPr>
          <w:rFonts w:hint="eastAsia" w:eastAsia="仿宋" w:cs="Times New Roman"/>
          <w:color w:val="auto"/>
          <w:highlight w:val="none"/>
        </w:rPr>
        <w:t>浙</w:t>
      </w:r>
      <w:r>
        <w:rPr>
          <w:rFonts w:eastAsia="仿宋" w:cs="Times New Roman"/>
          <w:color w:val="auto"/>
          <w:highlight w:val="none"/>
        </w:rPr>
        <w:t>01</w:t>
      </w:r>
      <w:r>
        <w:rPr>
          <w:rFonts w:hint="eastAsia" w:eastAsia="仿宋" w:cs="Times New Roman"/>
          <w:color w:val="auto"/>
          <w:highlight w:val="none"/>
        </w:rPr>
        <w:t>民初</w:t>
      </w:r>
      <w:r>
        <w:rPr>
          <w:rFonts w:eastAsia="仿宋" w:cs="Times New Roman"/>
          <w:color w:val="auto"/>
          <w:highlight w:val="none"/>
        </w:rPr>
        <w:t>1691</w:t>
      </w:r>
      <w:r>
        <w:rPr>
          <w:rFonts w:hint="eastAsia" w:ascii="仿宋" w:hAnsi="仿宋" w:eastAsia="仿宋"/>
          <w:color w:val="auto"/>
          <w:highlight w:val="none"/>
        </w:rPr>
        <w:t>号民事判决书。</w:t>
      </w:r>
    </w:p>
    <w:p w14:paraId="43B9BCD9">
      <w:pPr>
        <w:ind w:firstLine="480" w:firstLineChars="200"/>
        <w:rPr>
          <w:color w:val="auto"/>
          <w:highlight w:val="none"/>
        </w:rPr>
      </w:pPr>
      <w:r>
        <w:rPr>
          <w:rFonts w:hint="eastAsia"/>
          <w:color w:val="auto"/>
          <w:highlight w:val="none"/>
        </w:rPr>
        <w:t>（</w:t>
      </w:r>
      <w:r>
        <w:rPr>
          <w:color w:val="auto"/>
          <w:highlight w:val="none"/>
        </w:rPr>
        <w:t>3</w:t>
      </w:r>
      <w:r>
        <w:rPr>
          <w:rFonts w:hint="eastAsia"/>
          <w:color w:val="auto"/>
          <w:highlight w:val="none"/>
        </w:rPr>
        <w:t>）最高法院、最高检察院发布的指导性案例，一般只标注发布机关、指导性案例的序号，并用括号标注发布年份。例如：</w:t>
      </w:r>
    </w:p>
    <w:p w14:paraId="5862AFEB">
      <w:pPr>
        <w:ind w:firstLine="480" w:firstLineChars="200"/>
        <w:rPr>
          <w:color w:val="auto"/>
          <w:highlight w:val="none"/>
        </w:rPr>
      </w:pPr>
      <w:r>
        <w:rPr>
          <w:rFonts w:hint="eastAsia" w:ascii="仿宋" w:hAnsi="仿宋" w:eastAsia="仿宋"/>
          <w:color w:val="auto"/>
          <w:highlight w:val="none"/>
        </w:rPr>
        <w:t>荣宝英诉王阳、永诚财产保险股份有限公司江阴支公司机动车交通事故责任纠纷案，最高法院指导案例</w:t>
      </w:r>
      <w:r>
        <w:rPr>
          <w:rFonts w:eastAsia="仿宋" w:cs="Times New Roman"/>
          <w:color w:val="auto"/>
          <w:highlight w:val="none"/>
        </w:rPr>
        <w:t>24</w:t>
      </w:r>
      <w:r>
        <w:rPr>
          <w:rFonts w:hint="eastAsia" w:eastAsia="仿宋" w:cs="Times New Roman"/>
          <w:color w:val="auto"/>
          <w:highlight w:val="none"/>
        </w:rPr>
        <w:t>号（</w:t>
      </w:r>
      <w:r>
        <w:rPr>
          <w:rFonts w:eastAsia="仿宋" w:cs="Times New Roman"/>
          <w:color w:val="auto"/>
          <w:highlight w:val="none"/>
        </w:rPr>
        <w:t>2014</w:t>
      </w:r>
      <w:r>
        <w:rPr>
          <w:rFonts w:hint="eastAsia" w:ascii="仿宋" w:hAnsi="仿宋" w:eastAsia="仿宋"/>
          <w:color w:val="auto"/>
          <w:highlight w:val="none"/>
        </w:rPr>
        <w:t>年）。</w:t>
      </w:r>
    </w:p>
    <w:p w14:paraId="6D7C8247">
      <w:pPr>
        <w:ind w:firstLine="480" w:firstLineChars="200"/>
        <w:rPr>
          <w:color w:val="auto"/>
          <w:highlight w:val="none"/>
        </w:rPr>
      </w:pPr>
      <w:r>
        <w:rPr>
          <w:rFonts w:hint="eastAsia"/>
          <w:color w:val="auto"/>
          <w:highlight w:val="none"/>
        </w:rPr>
        <w:t>（</w:t>
      </w:r>
      <w:r>
        <w:rPr>
          <w:color w:val="auto"/>
          <w:highlight w:val="none"/>
        </w:rPr>
        <w:t>4</w:t>
      </w:r>
      <w:r>
        <w:rPr>
          <w:rFonts w:hint="eastAsia"/>
          <w:color w:val="auto"/>
          <w:highlight w:val="none"/>
        </w:rPr>
        <w:t>）早期案例，读者比较难找的，可以同时提供相关出处；找不到裁判文书的，援引媒体报道。例如：</w:t>
      </w:r>
    </w:p>
    <w:p w14:paraId="28E6FDDB">
      <w:pPr>
        <w:ind w:firstLine="480" w:firstLineChars="200"/>
        <w:rPr>
          <w:rFonts w:ascii="仿宋" w:hAnsi="仿宋" w:eastAsia="仿宋"/>
          <w:color w:val="auto"/>
          <w:highlight w:val="none"/>
        </w:rPr>
      </w:pPr>
      <w:r>
        <w:rPr>
          <w:rFonts w:hint="eastAsia" w:ascii="仿宋" w:hAnsi="仿宋" w:eastAsia="仿宋"/>
          <w:color w:val="auto"/>
          <w:highlight w:val="none"/>
        </w:rPr>
        <w:t>谢文彬诉广东省司法厅案，相关报道见李桂茹、孔献之：《七旬律师被判可以执业</w:t>
      </w:r>
      <w:r>
        <w:rPr>
          <w:rFonts w:ascii="仿宋" w:hAnsi="仿宋" w:eastAsia="仿宋"/>
          <w:color w:val="auto"/>
          <w:highlight w:val="none"/>
        </w:rPr>
        <w:t xml:space="preserve"> </w:t>
      </w:r>
      <w:r>
        <w:rPr>
          <w:rFonts w:hint="eastAsia" w:ascii="仿宋" w:hAnsi="仿宋" w:eastAsia="仿宋"/>
          <w:color w:val="auto"/>
          <w:highlight w:val="none"/>
        </w:rPr>
        <w:t>〈律师法〉赢了司法部文件》，载《中国青年报》</w:t>
      </w:r>
      <w:r>
        <w:rPr>
          <w:rFonts w:eastAsia="仿宋" w:cs="Times New Roman"/>
          <w:color w:val="auto"/>
          <w:highlight w:val="none"/>
        </w:rPr>
        <w:t>2003</w:t>
      </w:r>
      <w:r>
        <w:rPr>
          <w:rFonts w:hint="eastAsia" w:eastAsia="仿宋" w:cs="Times New Roman"/>
          <w:color w:val="auto"/>
          <w:highlight w:val="none"/>
        </w:rPr>
        <w:t>年</w:t>
      </w:r>
      <w:r>
        <w:rPr>
          <w:rFonts w:eastAsia="仿宋" w:cs="Times New Roman"/>
          <w:color w:val="auto"/>
          <w:highlight w:val="none"/>
        </w:rPr>
        <w:t>6</w:t>
      </w:r>
      <w:r>
        <w:rPr>
          <w:rFonts w:hint="eastAsia" w:eastAsia="仿宋" w:cs="Times New Roman"/>
          <w:color w:val="auto"/>
          <w:highlight w:val="none"/>
        </w:rPr>
        <w:t>月</w:t>
      </w:r>
      <w:r>
        <w:rPr>
          <w:rFonts w:eastAsia="仿宋" w:cs="Times New Roman"/>
          <w:color w:val="auto"/>
          <w:highlight w:val="none"/>
        </w:rPr>
        <w:t>4</w:t>
      </w:r>
      <w:r>
        <w:rPr>
          <w:rFonts w:hint="eastAsia" w:ascii="仿宋" w:hAnsi="仿宋" w:eastAsia="仿宋"/>
          <w:color w:val="auto"/>
          <w:highlight w:val="none"/>
        </w:rPr>
        <w:t>日。</w:t>
      </w:r>
    </w:p>
    <w:p w14:paraId="57BE1C04">
      <w:pPr>
        <w:pStyle w:val="3"/>
        <w:rPr>
          <w:color w:val="auto"/>
          <w:highlight w:val="none"/>
        </w:rPr>
      </w:pPr>
      <w:bookmarkStart w:id="4" w:name="_Toc1357525094"/>
      <w:r>
        <w:rPr>
          <w:rFonts w:hint="eastAsia"/>
          <w:color w:val="auto"/>
          <w:highlight w:val="none"/>
        </w:rPr>
        <w:t>（三）外文引注示例</w:t>
      </w:r>
      <w:bookmarkEnd w:id="4"/>
    </w:p>
    <w:p w14:paraId="3BB9CD14">
      <w:pPr>
        <w:pStyle w:val="4"/>
        <w:spacing w:before="156"/>
        <w:ind w:left="0" w:leftChars="0" w:firstLine="480" w:firstLineChars="200"/>
        <w:rPr>
          <w:b w:val="0"/>
          <w:bCs/>
          <w:color w:val="auto"/>
          <w:highlight w:val="none"/>
        </w:rPr>
      </w:pPr>
      <w:bookmarkStart w:id="5" w:name="_Toc1057989130"/>
      <w:r>
        <w:rPr>
          <w:rFonts w:hint="eastAsia"/>
          <w:b w:val="0"/>
          <w:bCs/>
          <w:color w:val="auto"/>
          <w:highlight w:val="none"/>
          <w:lang w:val="en-US" w:eastAsia="zh-CN"/>
        </w:rPr>
        <w:t>以下为英文引注示例，其他外文引注可参考《中外法学》期刊的引注规范。</w:t>
      </w:r>
      <w:bookmarkEnd w:id="5"/>
    </w:p>
    <w:p w14:paraId="3BAFC2BD">
      <w:pPr>
        <w:ind w:firstLine="480" w:firstLineChars="200"/>
        <w:rPr>
          <w:color w:val="auto"/>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著作、教材</w:t>
      </w:r>
    </w:p>
    <w:p w14:paraId="5CBAABF0">
      <w:pPr>
        <w:ind w:firstLine="480" w:firstLineChars="200"/>
        <w:rPr>
          <w:color w:val="auto"/>
          <w:highlight w:val="none"/>
        </w:rPr>
      </w:pPr>
      <w:r>
        <w:rPr>
          <w:rFonts w:hint="eastAsia" w:ascii="宋体" w:hAnsi="宋体" w:cs="宋体"/>
          <w:color w:val="auto"/>
          <w:kern w:val="0"/>
          <w:szCs w:val="21"/>
          <w:highlight w:val="none"/>
        </w:rPr>
        <w:t>作者（名字在前、姓氏在后），书名（斜体），版次（如第</w:t>
      </w:r>
      <w:r>
        <w:rPr>
          <w:rFonts w:ascii="宋体" w:hAnsi="宋体" w:cs="宋体"/>
          <w:color w:val="auto"/>
          <w:kern w:val="0"/>
          <w:szCs w:val="21"/>
          <w:highlight w:val="none"/>
        </w:rPr>
        <w:t>2版以上）</w:t>
      </w:r>
      <w:r>
        <w:rPr>
          <w:rFonts w:hint="eastAsia" w:ascii="宋体" w:hAnsi="宋体" w:cs="宋体"/>
          <w:color w:val="auto"/>
          <w:kern w:val="0"/>
          <w:szCs w:val="21"/>
          <w:highlight w:val="none"/>
        </w:rPr>
        <w:t>，出版地</w:t>
      </w:r>
      <w:r>
        <w:rPr>
          <w:rFonts w:ascii="宋体" w:hAnsi="宋体" w:cs="宋体"/>
          <w:color w:val="auto"/>
          <w:kern w:val="0"/>
          <w:szCs w:val="21"/>
          <w:highlight w:val="none"/>
        </w:rPr>
        <w:t>+</w:t>
      </w:r>
      <w:r>
        <w:rPr>
          <w:rFonts w:hint="eastAsia" w:ascii="宋体" w:hAnsi="宋体" w:cs="宋体"/>
          <w:color w:val="auto"/>
          <w:kern w:val="0"/>
          <w:szCs w:val="21"/>
          <w:highlight w:val="none"/>
        </w:rPr>
        <w:t>出版社，出版年份，</w:t>
      </w:r>
      <w:r>
        <w:rPr>
          <w:rFonts w:ascii="宋体" w:hAnsi="宋体" w:cs="宋体"/>
          <w:color w:val="auto"/>
          <w:kern w:val="0"/>
          <w:szCs w:val="21"/>
          <w:highlight w:val="none"/>
        </w:rPr>
        <w:t>p.+具体页码或者pp.+页码范围</w:t>
      </w:r>
      <w:r>
        <w:rPr>
          <w:rFonts w:hint="eastAsia" w:ascii="宋体" w:hAnsi="宋体" w:cs="宋体"/>
          <w:color w:val="auto"/>
          <w:kern w:val="0"/>
          <w:szCs w:val="21"/>
          <w:highlight w:val="none"/>
        </w:rPr>
        <w:t>（</w:t>
      </w:r>
      <w:r>
        <w:rPr>
          <w:rFonts w:ascii="宋体" w:hAnsi="宋体" w:cs="宋体"/>
          <w:color w:val="auto"/>
          <w:kern w:val="0"/>
          <w:szCs w:val="21"/>
          <w:highlight w:val="none"/>
        </w:rPr>
        <w:t>p.</w:t>
      </w:r>
      <w:r>
        <w:rPr>
          <w:rFonts w:hint="eastAsia" w:ascii="宋体" w:hAnsi="宋体" w:cs="宋体"/>
          <w:color w:val="auto"/>
          <w:kern w:val="0"/>
          <w:szCs w:val="21"/>
          <w:highlight w:val="none"/>
        </w:rPr>
        <w:t>或</w:t>
      </w:r>
      <w:r>
        <w:rPr>
          <w:rFonts w:ascii="宋体" w:hAnsi="宋体" w:cs="宋体"/>
          <w:color w:val="auto"/>
          <w:kern w:val="0"/>
          <w:szCs w:val="21"/>
          <w:highlight w:val="none"/>
        </w:rPr>
        <w:t>pp.</w:t>
      </w:r>
      <w:r>
        <w:rPr>
          <w:rFonts w:hint="eastAsia" w:ascii="宋体" w:hAnsi="宋体" w:cs="宋体"/>
          <w:color w:val="auto"/>
          <w:kern w:val="0"/>
          <w:szCs w:val="21"/>
          <w:highlight w:val="none"/>
        </w:rPr>
        <w:t>后接具体页码时应注意空一格）。</w:t>
      </w:r>
      <w:r>
        <w:rPr>
          <w:rFonts w:hint="eastAsia"/>
          <w:color w:val="auto"/>
          <w:highlight w:val="none"/>
        </w:rPr>
        <w:t>例如：</w:t>
      </w:r>
    </w:p>
    <w:p w14:paraId="1BCB5C01">
      <w:pPr>
        <w:ind w:firstLine="480" w:firstLineChars="200"/>
        <w:rPr>
          <w:color w:val="auto"/>
          <w:highlight w:val="none"/>
        </w:rPr>
      </w:pPr>
      <w:r>
        <w:rPr>
          <w:color w:val="auto"/>
          <w:highlight w:val="none"/>
        </w:rPr>
        <w:t xml:space="preserve">See Orde F. Kittrie, </w:t>
      </w:r>
      <w:r>
        <w:rPr>
          <w:i/>
          <w:color w:val="auto"/>
          <w:highlight w:val="none"/>
        </w:rPr>
        <w:t>Lawfare: Law as A Weapon of War</w:t>
      </w:r>
      <w:r>
        <w:rPr>
          <w:color w:val="auto"/>
          <w:highlight w:val="none"/>
        </w:rPr>
        <w:t>, New York: Oxford University Press, 2016, p. 116.</w:t>
      </w:r>
    </w:p>
    <w:p w14:paraId="328058F1">
      <w:pPr>
        <w:ind w:firstLine="480" w:firstLineChars="200"/>
        <w:rPr>
          <w:color w:val="auto"/>
          <w:highlight w:val="none"/>
        </w:rPr>
      </w:pPr>
      <w:r>
        <w:rPr>
          <w:color w:val="auto"/>
          <w:highlight w:val="none"/>
        </w:rPr>
        <w:t>Albert H.Y. Chen (ed.),</w:t>
      </w:r>
      <w:r>
        <w:rPr>
          <w:i/>
          <w:color w:val="auto"/>
          <w:highlight w:val="none"/>
        </w:rPr>
        <w:t xml:space="preserve"> Constitutionalism in Asia in the Early Twenty-First Century</w:t>
      </w:r>
      <w:r>
        <w:rPr>
          <w:color w:val="auto"/>
          <w:highlight w:val="none"/>
        </w:rPr>
        <w:t>, Cambridge: Cambridge University Press, 2014, p. 39.</w:t>
      </w:r>
    </w:p>
    <w:p w14:paraId="77874CB4">
      <w:pPr>
        <w:ind w:firstLine="480" w:firstLineChars="200"/>
        <w:rPr>
          <w:color w:val="auto"/>
          <w:highlight w:val="none"/>
        </w:rPr>
      </w:pPr>
      <w:r>
        <w:rPr>
          <w:rFonts w:hint="eastAsia"/>
          <w:color w:val="auto"/>
          <w:highlight w:val="none"/>
          <w:lang w:val="en-US" w:eastAsia="zh-CN"/>
        </w:rPr>
        <w:t>2.</w:t>
      </w:r>
      <w:r>
        <w:rPr>
          <w:rFonts w:hint="eastAsia"/>
          <w:color w:val="auto"/>
          <w:highlight w:val="none"/>
        </w:rPr>
        <w:t>英文论文</w:t>
      </w:r>
    </w:p>
    <w:p w14:paraId="182E5A65">
      <w:pPr>
        <w:widowControl/>
        <w:shd w:val="clear" w:color="auto" w:fill="FFFFFF"/>
        <w:spacing w:line="420" w:lineRule="atLeast"/>
        <w:ind w:firstLine="480" w:firstLineChars="200"/>
        <w:jc w:val="left"/>
        <w:rPr>
          <w:color w:val="auto"/>
          <w:highlight w:val="none"/>
        </w:rPr>
      </w:pPr>
      <w:r>
        <w:rPr>
          <w:rFonts w:hint="eastAsia" w:ascii="宋体" w:hAnsi="宋体" w:cs="宋体"/>
          <w:color w:val="auto"/>
          <w:kern w:val="0"/>
          <w:szCs w:val="21"/>
          <w:highlight w:val="none"/>
        </w:rPr>
        <w:t>作者</w:t>
      </w:r>
      <w:r>
        <w:rPr>
          <w:rFonts w:ascii="宋体" w:hAnsi="宋体" w:cs="宋体"/>
          <w:color w:val="auto"/>
          <w:kern w:val="0"/>
          <w:szCs w:val="21"/>
          <w:highlight w:val="none"/>
        </w:rPr>
        <w:t>, 论文名（加引号）, 期刊名（斜体）, 卷数期数（例如，Vol. 3, No.5）、出版年份（例如，2015），p.+具体页码或者pp.+页码范围。</w:t>
      </w:r>
      <w:r>
        <w:rPr>
          <w:rFonts w:hint="eastAsia"/>
          <w:color w:val="auto"/>
          <w:highlight w:val="none"/>
        </w:rPr>
        <w:t>例如：</w:t>
      </w:r>
    </w:p>
    <w:p w14:paraId="261DDDCD">
      <w:pPr>
        <w:ind w:firstLine="480" w:firstLineChars="200"/>
        <w:rPr>
          <w:color w:val="auto"/>
          <w:highlight w:val="none"/>
        </w:rPr>
      </w:pPr>
      <w:r>
        <w:rPr>
          <w:color w:val="auto"/>
          <w:highlight w:val="none"/>
        </w:rPr>
        <w:t xml:space="preserve">Richard A. Posner, “The Decline of Law as an Autonomous Discipline: 1962-1987,” </w:t>
      </w:r>
      <w:r>
        <w:rPr>
          <w:i/>
          <w:color w:val="auto"/>
          <w:highlight w:val="none"/>
        </w:rPr>
        <w:t>Harvard Law Review</w:t>
      </w:r>
      <w:r>
        <w:rPr>
          <w:color w:val="auto"/>
          <w:highlight w:val="none"/>
        </w:rPr>
        <w:t>, Vol. 100, No. 4, 1987, pp. 761-780.</w:t>
      </w:r>
    </w:p>
    <w:p w14:paraId="4BD27914">
      <w:pPr>
        <w:ind w:firstLine="480" w:firstLineChars="200"/>
        <w:rPr>
          <w:color w:val="auto"/>
          <w:highlight w:val="none"/>
        </w:rPr>
      </w:pPr>
      <w:r>
        <w:rPr>
          <w:color w:val="auto"/>
          <w:highlight w:val="none"/>
        </w:rPr>
        <w:t xml:space="preserve">Marte Knigge and Pauline Ribbers, “Waiver of the Right to Set-Aside Proceedings in Light of Article 6 ECHR: Party-Autonomy on Top?” </w:t>
      </w:r>
      <w:r>
        <w:rPr>
          <w:i/>
          <w:iCs/>
          <w:color w:val="auto"/>
          <w:highlight w:val="none"/>
        </w:rPr>
        <w:t>Journal of International Arbitration</w:t>
      </w:r>
      <w:r>
        <w:rPr>
          <w:color w:val="auto"/>
          <w:highlight w:val="none"/>
        </w:rPr>
        <w:t>, Vol. 34, No. 5, 2017, pp. 792-793.</w:t>
      </w:r>
    </w:p>
    <w:p w14:paraId="40FE9142">
      <w:pPr>
        <w:ind w:firstLine="480" w:firstLineChars="200"/>
        <w:rPr>
          <w:color w:val="auto"/>
          <w:highlight w:val="none"/>
        </w:rPr>
      </w:pPr>
      <w:r>
        <w:rPr>
          <w:color w:val="auto"/>
          <w:highlight w:val="none"/>
        </w:rPr>
        <w:t xml:space="preserve">Clifford J. Carrubba, Matthew Gabel and Charles Hankla, “Judicial behavior under political constraints: Evidence from the European Court of Justice,” </w:t>
      </w:r>
      <w:r>
        <w:rPr>
          <w:i/>
          <w:iCs/>
          <w:color w:val="auto"/>
          <w:highlight w:val="none"/>
        </w:rPr>
        <w:t>American Political Science Review</w:t>
      </w:r>
      <w:r>
        <w:rPr>
          <w:color w:val="auto"/>
          <w:highlight w:val="none"/>
        </w:rPr>
        <w:t>, Vol. 102, No. 4, 2008, pp. 435-452.</w:t>
      </w:r>
    </w:p>
    <w:p w14:paraId="23457761">
      <w:pPr>
        <w:ind w:firstLine="480" w:firstLineChars="200"/>
        <w:rPr>
          <w:color w:val="auto"/>
          <w:highlight w:val="none"/>
        </w:rPr>
      </w:pPr>
      <w:r>
        <w:rPr>
          <w:rFonts w:hint="eastAsia"/>
          <w:color w:val="auto"/>
          <w:highlight w:val="none"/>
          <w:lang w:val="en-US" w:eastAsia="zh-CN"/>
        </w:rPr>
        <w:t>3.</w:t>
      </w:r>
      <w:r>
        <w:rPr>
          <w:rFonts w:hint="eastAsia"/>
          <w:color w:val="auto"/>
          <w:highlight w:val="none"/>
        </w:rPr>
        <w:t>英文文集</w:t>
      </w:r>
    </w:p>
    <w:p w14:paraId="2411C2FC">
      <w:pPr>
        <w:ind w:firstLine="480" w:firstLineChars="200"/>
        <w:rPr>
          <w:color w:val="auto"/>
          <w:highlight w:val="none"/>
        </w:rPr>
      </w:pPr>
      <w:r>
        <w:rPr>
          <w:rFonts w:hint="eastAsia"/>
          <w:color w:val="auto"/>
          <w:highlight w:val="none"/>
        </w:rPr>
        <w:t>作者、论文题目、编者或者编辑机构、文集名称（斜体）、出版地：出版社、出版年份、页码。例如：</w:t>
      </w:r>
    </w:p>
    <w:p w14:paraId="5A34F3B9">
      <w:pPr>
        <w:ind w:firstLine="480" w:firstLineChars="200"/>
        <w:rPr>
          <w:color w:val="auto"/>
          <w:highlight w:val="none"/>
        </w:rPr>
      </w:pPr>
      <w:r>
        <w:rPr>
          <w:color w:val="auto"/>
          <w:highlight w:val="none"/>
        </w:rPr>
        <w:t xml:space="preserve">Michel Foucault, “What is an Author,” in Donald F. Bouchard (ed.), </w:t>
      </w:r>
      <w:r>
        <w:rPr>
          <w:i/>
          <w:color w:val="auto"/>
          <w:highlight w:val="none"/>
        </w:rPr>
        <w:t>Language, Counter-Memory, Practice: Selected Essays and Interviews</w:t>
      </w:r>
      <w:r>
        <w:rPr>
          <w:color w:val="auto"/>
          <w:highlight w:val="none"/>
        </w:rPr>
        <w:t>, Ithaca: Cornell University Press, 1977, pp. 113-118.</w:t>
      </w:r>
    </w:p>
    <w:p w14:paraId="116E7A40">
      <w:pPr>
        <w:ind w:firstLine="480" w:firstLineChars="200"/>
        <w:rPr>
          <w:color w:val="auto"/>
          <w:highlight w:val="none"/>
        </w:rPr>
      </w:pPr>
      <w:r>
        <w:rPr>
          <w:rFonts w:hint="eastAsia"/>
          <w:color w:val="auto"/>
          <w:highlight w:val="none"/>
          <w:lang w:val="en-US" w:eastAsia="zh-CN"/>
        </w:rPr>
        <w:t>4.</w:t>
      </w:r>
      <w:r>
        <w:rPr>
          <w:rFonts w:hint="eastAsia"/>
          <w:color w:val="auto"/>
          <w:highlight w:val="none"/>
        </w:rPr>
        <w:t>法院案例</w:t>
      </w:r>
    </w:p>
    <w:p w14:paraId="3F349ABE">
      <w:pPr>
        <w:ind w:firstLine="480" w:firstLineChars="200"/>
        <w:rPr>
          <w:color w:val="auto"/>
          <w:highlight w:val="none"/>
        </w:rPr>
      </w:pPr>
      <w:r>
        <w:rPr>
          <w:rFonts w:hint="eastAsia"/>
          <w:color w:val="auto"/>
          <w:highlight w:val="none"/>
        </w:rPr>
        <w:t>英文案例的引用方式，因不同国家、不同法院、不同案例报告系统而有所区别。引用美国联邦法院的判决，基本格式为：</w:t>
      </w:r>
    </w:p>
    <w:p w14:paraId="1389B18B">
      <w:pPr>
        <w:ind w:firstLine="480" w:firstLineChars="200"/>
        <w:rPr>
          <w:color w:val="auto"/>
          <w:highlight w:val="none"/>
        </w:rPr>
      </w:pPr>
      <w:r>
        <w:rPr>
          <w:color w:val="auto"/>
          <w:highlight w:val="none"/>
        </w:rPr>
        <w:t>Natural Resources Defense Council v. Gorsuch, 685 F.2d 718 (D.C. Cir. 1982); Chevron U.S.A., Inc. v. Natural Resources Defense Council, 467 U.S. 837 (1984).</w:t>
      </w:r>
    </w:p>
    <w:p w14:paraId="2BA71504">
      <w:pPr>
        <w:ind w:firstLine="480" w:firstLineChars="200"/>
        <w:rPr>
          <w:color w:val="auto"/>
          <w:highlight w:val="none"/>
        </w:rPr>
      </w:pPr>
      <w:r>
        <w:rPr>
          <w:rFonts w:hint="eastAsia"/>
          <w:color w:val="auto"/>
          <w:highlight w:val="none"/>
        </w:rPr>
        <w:t>尚未宣判的案件，可以只引用案件号和审理法院；必要时，标注起诉、受理、开庭日期。例如：</w:t>
      </w:r>
    </w:p>
    <w:p w14:paraId="12CBEEE5">
      <w:pPr>
        <w:ind w:firstLine="480" w:firstLineChars="200"/>
        <w:rPr>
          <w:color w:val="auto"/>
          <w:highlight w:val="none"/>
        </w:rPr>
      </w:pPr>
      <w:r>
        <w:rPr>
          <w:color w:val="auto"/>
          <w:highlight w:val="none"/>
        </w:rPr>
        <w:t>United States v. Dino Nastasi et al., No. 3:15-cr-00213-FDW-DCK (W.D. North Carolina).</w:t>
      </w:r>
    </w:p>
    <w:p w14:paraId="4D747A8E">
      <w:pPr>
        <w:ind w:firstLine="480" w:firstLineChars="200"/>
        <w:rPr>
          <w:color w:val="auto"/>
          <w:highlight w:val="none"/>
        </w:rPr>
      </w:pPr>
      <w:r>
        <w:rPr>
          <w:rFonts w:hint="eastAsia"/>
          <w:color w:val="auto"/>
          <w:highlight w:val="none"/>
          <w:lang w:val="en-US" w:eastAsia="zh-CN"/>
        </w:rPr>
        <w:t>5.</w:t>
      </w:r>
      <w:r>
        <w:rPr>
          <w:rFonts w:hint="eastAsia"/>
          <w:color w:val="auto"/>
          <w:highlight w:val="none"/>
        </w:rPr>
        <w:t>英文法规</w:t>
      </w:r>
    </w:p>
    <w:p w14:paraId="7BB50B5E">
      <w:pPr>
        <w:ind w:firstLine="480" w:firstLineChars="200"/>
        <w:rPr>
          <w:color w:val="auto"/>
          <w:highlight w:val="none"/>
        </w:rPr>
      </w:pPr>
      <w:r>
        <w:rPr>
          <w:rFonts w:hint="eastAsia"/>
          <w:color w:val="auto"/>
          <w:highlight w:val="none"/>
        </w:rPr>
        <w:t>以美国联邦立法为例。美国联邦立法有多种形式的载体：一是随时出版的单行本（</w:t>
      </w:r>
      <w:r>
        <w:rPr>
          <w:color w:val="auto"/>
          <w:highlight w:val="none"/>
        </w:rPr>
        <w:t>slip laws</w:t>
      </w:r>
      <w:r>
        <w:rPr>
          <w:rFonts w:hint="eastAsia"/>
          <w:color w:val="auto"/>
          <w:highlight w:val="none"/>
        </w:rPr>
        <w:t>）；二是一个国会会期一卷、按颁布时间先后汇集的《法律大全》（</w:t>
      </w:r>
      <w:r>
        <w:rPr>
          <w:color w:val="auto"/>
          <w:highlight w:val="none"/>
        </w:rPr>
        <w:t>United States Statutes at Large</w:t>
      </w:r>
      <w:r>
        <w:rPr>
          <w:rFonts w:hint="eastAsia"/>
          <w:color w:val="auto"/>
          <w:highlight w:val="none"/>
        </w:rPr>
        <w:t>，缩写为</w:t>
      </w:r>
      <w:r>
        <w:rPr>
          <w:color w:val="auto"/>
          <w:highlight w:val="none"/>
        </w:rPr>
        <w:t>Stat.</w:t>
      </w:r>
      <w:r>
        <w:rPr>
          <w:rFonts w:hint="eastAsia"/>
          <w:color w:val="auto"/>
          <w:highlight w:val="none"/>
        </w:rPr>
        <w:t>）；三是六年一次、遵循法典体系汇编的《美国法典》（</w:t>
      </w:r>
      <w:r>
        <w:rPr>
          <w:color w:val="auto"/>
          <w:highlight w:val="none"/>
        </w:rPr>
        <w:t>United States Code</w:t>
      </w:r>
      <w:r>
        <w:rPr>
          <w:rFonts w:hint="eastAsia"/>
          <w:color w:val="auto"/>
          <w:highlight w:val="none"/>
        </w:rPr>
        <w:t>，缩写为</w:t>
      </w:r>
      <w:r>
        <w:rPr>
          <w:color w:val="auto"/>
          <w:highlight w:val="none"/>
        </w:rPr>
        <w:t>U.S.C.</w:t>
      </w:r>
      <w:r>
        <w:rPr>
          <w:rFonts w:hint="eastAsia"/>
          <w:color w:val="auto"/>
          <w:highlight w:val="none"/>
        </w:rPr>
        <w:t>）及其补充本（</w:t>
      </w:r>
      <w:r>
        <w:rPr>
          <w:color w:val="auto"/>
          <w:highlight w:val="none"/>
        </w:rPr>
        <w:t>Supp.</w:t>
      </w:r>
      <w:r>
        <w:rPr>
          <w:rFonts w:hint="eastAsia"/>
          <w:color w:val="auto"/>
          <w:highlight w:val="none"/>
        </w:rPr>
        <w:t>）。引用多为第二、三种。</w:t>
      </w:r>
    </w:p>
    <w:p w14:paraId="19DB60E7">
      <w:pPr>
        <w:ind w:firstLine="480" w:firstLineChars="200"/>
        <w:rPr>
          <w:color w:val="auto"/>
          <w:highlight w:val="none"/>
        </w:rPr>
      </w:pPr>
      <w:r>
        <w:rPr>
          <w:rFonts w:hint="eastAsia"/>
          <w:color w:val="auto"/>
          <w:highlight w:val="none"/>
        </w:rPr>
        <w:t>引用《法律大全》的格式为：</w:t>
      </w:r>
    </w:p>
    <w:p w14:paraId="262A4C68">
      <w:pPr>
        <w:ind w:firstLine="480" w:firstLineChars="200"/>
        <w:rPr>
          <w:color w:val="auto"/>
          <w:highlight w:val="none"/>
        </w:rPr>
      </w:pPr>
      <w:r>
        <w:rPr>
          <w:color w:val="auto"/>
          <w:highlight w:val="none"/>
        </w:rPr>
        <w:t>Department of Transportation Act, Pub. L. No. 89-670,</w:t>
      </w:r>
      <w:r>
        <w:rPr>
          <w:rFonts w:cs="Times New Roman"/>
          <w:color w:val="auto"/>
          <w:highlight w:val="none"/>
        </w:rPr>
        <w:t xml:space="preserve"> § </w:t>
      </w:r>
      <w:r>
        <w:rPr>
          <w:color w:val="auto"/>
          <w:highlight w:val="none"/>
        </w:rPr>
        <w:t>9, 80 Stat. 931, 944-47 (1966).</w:t>
      </w:r>
    </w:p>
    <w:p w14:paraId="619D3497">
      <w:pPr>
        <w:ind w:firstLine="480" w:firstLineChars="200"/>
        <w:rPr>
          <w:color w:val="auto"/>
          <w:highlight w:val="none"/>
        </w:rPr>
      </w:pPr>
      <w:r>
        <w:rPr>
          <w:rFonts w:hint="eastAsia"/>
          <w:color w:val="auto"/>
          <w:highlight w:val="none"/>
        </w:rPr>
        <w:t>引用《美国法典》的格式为：</w:t>
      </w:r>
    </w:p>
    <w:p w14:paraId="535E187C">
      <w:pPr>
        <w:ind w:firstLine="480" w:firstLineChars="200"/>
        <w:rPr>
          <w:color w:val="auto"/>
          <w:highlight w:val="none"/>
        </w:rPr>
      </w:pPr>
      <w:r>
        <w:rPr>
          <w:color w:val="auto"/>
          <w:highlight w:val="none"/>
        </w:rPr>
        <w:t>Administrative Procedure Ac</w:t>
      </w:r>
      <w:r>
        <w:rPr>
          <w:rFonts w:cs="Times New Roman"/>
          <w:color w:val="auto"/>
          <w:highlight w:val="none"/>
        </w:rPr>
        <w:t>t § 6, 5 U.S.C. §</w:t>
      </w:r>
      <w:r>
        <w:rPr>
          <w:color w:val="auto"/>
          <w:highlight w:val="none"/>
        </w:rPr>
        <w:t>555 (2006).</w:t>
      </w:r>
    </w:p>
    <w:p w14:paraId="7F1C2034">
      <w:pPr>
        <w:ind w:firstLine="480" w:firstLineChars="200"/>
        <w:rPr>
          <w:color w:val="auto"/>
          <w:highlight w:val="none"/>
        </w:rPr>
      </w:pPr>
      <w:r>
        <w:rPr>
          <w:rFonts w:hint="eastAsia"/>
          <w:color w:val="auto"/>
          <w:highlight w:val="none"/>
          <w:lang w:val="en-US" w:eastAsia="zh-CN"/>
        </w:rPr>
        <w:t>6.</w:t>
      </w:r>
      <w:r>
        <w:rPr>
          <w:rFonts w:hint="eastAsia"/>
          <w:color w:val="auto"/>
          <w:highlight w:val="none"/>
        </w:rPr>
        <w:t>网络文章</w:t>
      </w:r>
    </w:p>
    <w:p w14:paraId="2F8441F9">
      <w:pPr>
        <w:ind w:firstLine="480" w:firstLineChars="200"/>
        <w:rPr>
          <w:color w:val="auto"/>
          <w:highlight w:val="none"/>
        </w:rPr>
      </w:pPr>
      <w:r>
        <w:rPr>
          <w:rFonts w:hint="eastAsia"/>
          <w:color w:val="auto"/>
          <w:highlight w:val="none"/>
        </w:rPr>
        <w:t>作者，文献资料名（斜体），网站名，直接链接的网址，</w:t>
      </w:r>
      <w:r>
        <w:rPr>
          <w:rFonts w:hint="eastAsia"/>
          <w:color w:val="auto"/>
          <w:highlight w:val="none"/>
          <w:lang w:val="en-US" w:eastAsia="zh-CN"/>
        </w:rPr>
        <w:t>最后访问日期</w:t>
      </w:r>
      <w:r>
        <w:rPr>
          <w:color w:val="auto"/>
          <w:highlight w:val="none"/>
        </w:rPr>
        <w:t>.</w:t>
      </w:r>
    </w:p>
    <w:p w14:paraId="7FDA163C">
      <w:pPr>
        <w:ind w:firstLine="480" w:firstLineChars="200"/>
        <w:rPr>
          <w:color w:val="auto"/>
          <w:highlight w:val="none"/>
        </w:rPr>
      </w:pPr>
      <w:r>
        <w:rPr>
          <w:rFonts w:hint="eastAsia"/>
          <w:color w:val="auto"/>
          <w:highlight w:val="none"/>
        </w:rPr>
        <w:t>网络文章应标明作者、文章名、网址和最后访问日期，上述内容中没有相关信息的，可以不标注，但必须包含文章名、网址和最后访问日期，基本格式为：</w:t>
      </w:r>
    </w:p>
    <w:p w14:paraId="4918AB3D">
      <w:pPr>
        <w:ind w:firstLine="480" w:firstLineChars="200"/>
        <w:rPr>
          <w:color w:val="auto"/>
          <w:highlight w:val="none"/>
        </w:rPr>
      </w:pPr>
      <w:r>
        <w:rPr>
          <w:color w:val="auto"/>
          <w:highlight w:val="none"/>
        </w:rPr>
        <w:t xml:space="preserve">See World Health Organization, </w:t>
      </w:r>
      <w:r>
        <w:rPr>
          <w:i/>
          <w:color w:val="auto"/>
          <w:highlight w:val="none"/>
        </w:rPr>
        <w:t>“WHO Director-General's remarks at the media briefing on 2019-nCoV on 11 February 2020,”</w:t>
      </w:r>
      <w:r>
        <w:rPr>
          <w:color w:val="auto"/>
          <w:highlight w:val="none"/>
        </w:rPr>
        <w:t xml:space="preserve"> https://www.who.int/director-general/speeches/detail/who-director-general-s-remarks-at-the-media-briefing-on-2019-ncov-on-11-february-2020, last visited on 1 June 2022.</w:t>
      </w:r>
    </w:p>
    <w:p w14:paraId="50450762">
      <w:pPr>
        <w:pStyle w:val="3"/>
        <w:rPr>
          <w:color w:val="auto"/>
          <w:highlight w:val="none"/>
        </w:rPr>
      </w:pPr>
      <w:bookmarkStart w:id="6" w:name="_Toc103241002"/>
      <w:r>
        <w:rPr>
          <w:rFonts w:hint="eastAsia"/>
          <w:color w:val="auto"/>
          <w:highlight w:val="none"/>
        </w:rPr>
        <w:t>（四）参考文献的基本要求</w:t>
      </w:r>
      <w:bookmarkEnd w:id="6"/>
    </w:p>
    <w:p w14:paraId="1B49747A">
      <w:pPr>
        <w:ind w:firstLine="480" w:firstLineChars="200"/>
        <w:rPr>
          <w:color w:val="auto"/>
          <w:highlight w:val="none"/>
        </w:rPr>
      </w:pPr>
      <w:r>
        <w:rPr>
          <w:color w:val="auto"/>
          <w:highlight w:val="none"/>
        </w:rPr>
        <w:t xml:space="preserve">1. </w:t>
      </w:r>
      <w:r>
        <w:rPr>
          <w:rFonts w:hint="eastAsia"/>
          <w:color w:val="auto"/>
          <w:highlight w:val="none"/>
        </w:rPr>
        <w:t>参考文献收录的是论文引用的原理性阐述的出处，主要包括著作、教材、论文等；</w:t>
      </w:r>
    </w:p>
    <w:p w14:paraId="1A2C778D">
      <w:pPr>
        <w:ind w:firstLine="480" w:firstLineChars="200"/>
        <w:rPr>
          <w:color w:val="auto"/>
          <w:highlight w:val="none"/>
        </w:rPr>
      </w:pPr>
      <w:r>
        <w:rPr>
          <w:color w:val="auto"/>
          <w:highlight w:val="none"/>
        </w:rPr>
        <w:t xml:space="preserve">2. </w:t>
      </w:r>
      <w:r>
        <w:rPr>
          <w:rFonts w:hint="eastAsia"/>
          <w:color w:val="auto"/>
          <w:highlight w:val="none"/>
        </w:rPr>
        <w:t>经典案例、新闻以及网站资料等出处只需在文中的注释标明即可，无需作为参考文献。参考文献一般不列入非正式出版物和法律法规；</w:t>
      </w:r>
    </w:p>
    <w:p w14:paraId="784AD9B7">
      <w:pPr>
        <w:ind w:firstLine="480" w:firstLineChars="200"/>
        <w:rPr>
          <w:color w:val="auto"/>
          <w:highlight w:val="none"/>
        </w:rPr>
      </w:pPr>
      <w:r>
        <w:rPr>
          <w:color w:val="auto"/>
          <w:highlight w:val="none"/>
        </w:rPr>
        <w:t xml:space="preserve">3. </w:t>
      </w:r>
      <w:r>
        <w:rPr>
          <w:rFonts w:hint="eastAsia"/>
          <w:color w:val="auto"/>
          <w:highlight w:val="none"/>
        </w:rPr>
        <w:t>参考文献格式参见上文对于引注规范的要求，但参考文献无需标明具体页码；</w:t>
      </w:r>
    </w:p>
    <w:p w14:paraId="30B402DB">
      <w:pPr>
        <w:ind w:firstLine="480" w:firstLineChars="200"/>
        <w:rPr>
          <w:color w:val="auto"/>
          <w:highlight w:val="none"/>
        </w:rPr>
      </w:pPr>
      <w:r>
        <w:rPr>
          <w:color w:val="auto"/>
          <w:highlight w:val="none"/>
        </w:rPr>
        <w:t xml:space="preserve">4. </w:t>
      </w:r>
      <w:r>
        <w:rPr>
          <w:rFonts w:hint="eastAsia"/>
          <w:color w:val="auto"/>
          <w:highlight w:val="none"/>
        </w:rPr>
        <w:t>参考文献分为中文专著、中文译著、英文（外文）专著、中文论文、英文（外文）论文、其他文献等类别。各类的排列方式，以作者姓氏的字母为序；</w:t>
      </w:r>
    </w:p>
    <w:p w14:paraId="2275CBAD">
      <w:pPr>
        <w:ind w:firstLine="480" w:firstLineChars="200"/>
        <w:rPr>
          <w:color w:val="auto"/>
          <w:highlight w:val="none"/>
        </w:rPr>
      </w:pPr>
      <w:r>
        <w:rPr>
          <w:color w:val="auto"/>
          <w:highlight w:val="none"/>
        </w:rPr>
        <w:t xml:space="preserve">5. </w:t>
      </w:r>
      <w:r>
        <w:rPr>
          <w:rFonts w:hint="eastAsia"/>
          <w:color w:val="auto"/>
          <w:highlight w:val="none"/>
        </w:rPr>
        <w:t>法学院相关专业对注释体例有特殊规定的，从其要求。</w:t>
      </w:r>
    </w:p>
    <w:p w14:paraId="40507159">
      <w:pPr>
        <w:widowControl/>
        <w:spacing w:line="240" w:lineRule="auto"/>
        <w:jc w:val="left"/>
        <w:rPr>
          <w:color w:val="auto"/>
          <w:highlight w:val="none"/>
        </w:rPr>
      </w:pPr>
      <w:r>
        <w:rPr>
          <w:color w:val="auto"/>
          <w:highlight w:val="none"/>
        </w:rPr>
        <w:br w:type="page"/>
      </w:r>
    </w:p>
    <w:p w14:paraId="0805E490">
      <w:pPr>
        <w:pStyle w:val="2"/>
        <w:rPr>
          <w:color w:val="auto"/>
          <w:highlight w:val="none"/>
        </w:rPr>
      </w:pPr>
      <w:bookmarkStart w:id="7" w:name="_Toc4733838"/>
      <w:r>
        <w:rPr>
          <w:rFonts w:hint="eastAsia"/>
          <w:color w:val="auto"/>
          <w:highlight w:val="none"/>
        </w:rPr>
        <w:t>三、</w:t>
      </w:r>
      <w:r>
        <w:rPr>
          <w:rFonts w:hint="eastAsia"/>
          <w:color w:val="auto"/>
          <w:highlight w:val="none"/>
          <w:lang w:val="en-US" w:eastAsia="zh-CN"/>
        </w:rPr>
        <w:t>毕业</w:t>
      </w:r>
      <w:r>
        <w:rPr>
          <w:rFonts w:hint="eastAsia"/>
          <w:color w:val="auto"/>
          <w:highlight w:val="none"/>
        </w:rPr>
        <w:t>论文写作中的其他注意事项</w:t>
      </w:r>
      <w:bookmarkEnd w:id="7"/>
    </w:p>
    <w:p w14:paraId="4A34458A">
      <w:pPr>
        <w:pStyle w:val="3"/>
        <w:rPr>
          <w:color w:val="auto"/>
          <w:highlight w:val="none"/>
        </w:rPr>
      </w:pPr>
      <w:bookmarkStart w:id="8" w:name="_Toc104720327"/>
      <w:r>
        <w:rPr>
          <w:rFonts w:hint="eastAsia"/>
          <w:color w:val="auto"/>
          <w:highlight w:val="none"/>
        </w:rPr>
        <w:t>（一）标点符号用法</w:t>
      </w:r>
      <w:bookmarkEnd w:id="8"/>
    </w:p>
    <w:p w14:paraId="4F1FA30B">
      <w:pPr>
        <w:ind w:firstLine="480" w:firstLineChars="200"/>
        <w:rPr>
          <w:color w:val="auto"/>
          <w:highlight w:val="none"/>
        </w:rPr>
      </w:pPr>
      <w:r>
        <w:rPr>
          <w:rFonts w:hint="eastAsia"/>
          <w:color w:val="auto"/>
          <w:highlight w:val="none"/>
        </w:rPr>
        <w:t>论文写作过程中，应当注意正确使用标点符号。标点符号的用法可参照中华人民共和国国家标准《标点符号用法》（</w:t>
      </w:r>
      <w:r>
        <w:rPr>
          <w:color w:val="auto"/>
          <w:highlight w:val="none"/>
        </w:rPr>
        <w:t>GB/T 15834-2011</w:t>
      </w:r>
      <w:r>
        <w:rPr>
          <w:rFonts w:hint="eastAsia"/>
          <w:color w:val="auto"/>
          <w:highlight w:val="none"/>
        </w:rPr>
        <w:t>），以下列举几项论文写作过程中容易出现的标点符号错误。</w:t>
      </w:r>
    </w:p>
    <w:p w14:paraId="2E29FE72">
      <w:pPr>
        <w:ind w:firstLine="480" w:firstLineChars="200"/>
        <w:rPr>
          <w:color w:val="auto"/>
          <w:highlight w:val="none"/>
        </w:rPr>
      </w:pPr>
    </w:p>
    <w:p w14:paraId="36CA4BCB">
      <w:pPr>
        <w:ind w:firstLine="482" w:firstLineChars="200"/>
        <w:rPr>
          <w:b/>
          <w:color w:val="auto"/>
          <w:highlight w:val="none"/>
        </w:rPr>
      </w:pPr>
      <w:r>
        <w:rPr>
          <w:b/>
          <w:color w:val="auto"/>
          <w:highlight w:val="none"/>
        </w:rPr>
        <w:t xml:space="preserve">1. </w:t>
      </w:r>
      <w:r>
        <w:rPr>
          <w:rFonts w:hint="eastAsia"/>
          <w:b/>
          <w:color w:val="auto"/>
          <w:highlight w:val="none"/>
        </w:rPr>
        <w:t>中文标点符号与英文标点符号的混用或误用</w:t>
      </w:r>
    </w:p>
    <w:p w14:paraId="187E0CDA">
      <w:pPr>
        <w:ind w:firstLine="480" w:firstLineChars="200"/>
        <w:rPr>
          <w:rFonts w:eastAsia="仿宋" w:cs="Times New Roman"/>
          <w:color w:val="auto"/>
          <w:highlight w:val="none"/>
        </w:rPr>
      </w:pPr>
      <w:r>
        <w:rPr>
          <w:rFonts w:hint="eastAsia" w:eastAsia="仿宋" w:cs="Times New Roman"/>
          <w:color w:val="auto"/>
          <w:highlight w:val="none"/>
        </w:rPr>
        <w:t>错误用法：图</w:t>
      </w:r>
      <w:r>
        <w:rPr>
          <w:rFonts w:eastAsia="仿宋" w:cs="Times New Roman"/>
          <w:color w:val="auto"/>
          <w:highlight w:val="none"/>
        </w:rPr>
        <w:t>1.1</w:t>
      </w:r>
      <w:r>
        <w:rPr>
          <w:rFonts w:hint="eastAsia" w:eastAsia="仿宋" w:cs="Times New Roman"/>
          <w:color w:val="auto"/>
          <w:highlight w:val="none"/>
        </w:rPr>
        <w:t>概括了社会治理规则在产生和执行上的四种不同的组合</w:t>
      </w:r>
      <w:r>
        <w:rPr>
          <w:rFonts w:eastAsia="仿宋" w:cs="Times New Roman"/>
          <w:color w:val="auto"/>
          <w:highlight w:val="none"/>
        </w:rPr>
        <w:t>:</w:t>
      </w:r>
      <w:r>
        <w:rPr>
          <w:rFonts w:hint="eastAsia" w:ascii="宋体" w:hAnsi="宋体" w:cs="宋体"/>
          <w:color w:val="auto"/>
          <w:highlight w:val="none"/>
        </w:rPr>
        <w:t>①</w:t>
      </w:r>
      <w:r>
        <w:rPr>
          <w:rFonts w:hint="eastAsia" w:eastAsia="仿宋" w:cs="Times New Roman"/>
          <w:color w:val="auto"/>
          <w:highlight w:val="none"/>
        </w:rPr>
        <w:t>专业化生产并专业化执行</w:t>
      </w:r>
      <w:r>
        <w:rPr>
          <w:rFonts w:eastAsia="仿宋" w:cs="Times New Roman"/>
          <w:color w:val="auto"/>
          <w:highlight w:val="none"/>
        </w:rPr>
        <w:t>;</w:t>
      </w:r>
      <w:r>
        <w:rPr>
          <w:rFonts w:hint="eastAsia" w:ascii="宋体" w:hAnsi="宋体" w:cs="宋体"/>
          <w:color w:val="auto"/>
          <w:highlight w:val="none"/>
        </w:rPr>
        <w:t>②</w:t>
      </w:r>
      <w:r>
        <w:rPr>
          <w:rFonts w:hint="eastAsia" w:eastAsia="仿宋" w:cs="Times New Roman"/>
          <w:color w:val="auto"/>
          <w:highlight w:val="none"/>
        </w:rPr>
        <w:t>专业化生产但非专业化执行</w:t>
      </w:r>
      <w:r>
        <w:rPr>
          <w:rFonts w:eastAsia="仿宋" w:cs="Times New Roman"/>
          <w:color w:val="auto"/>
          <w:highlight w:val="none"/>
        </w:rPr>
        <w:t>;</w:t>
      </w:r>
      <w:r>
        <w:rPr>
          <w:rFonts w:hint="eastAsia" w:ascii="宋体" w:hAnsi="宋体" w:cs="宋体"/>
          <w:color w:val="auto"/>
          <w:highlight w:val="none"/>
        </w:rPr>
        <w:t>③</w:t>
      </w:r>
      <w:r>
        <w:rPr>
          <w:rFonts w:hint="eastAsia" w:eastAsia="仿宋" w:cs="Times New Roman"/>
          <w:color w:val="auto"/>
          <w:highlight w:val="none"/>
        </w:rPr>
        <w:t>非专业化生产但专业化执行</w:t>
      </w:r>
      <w:r>
        <w:rPr>
          <w:rFonts w:eastAsia="仿宋" w:cs="Times New Roman"/>
          <w:color w:val="auto"/>
          <w:highlight w:val="none"/>
        </w:rPr>
        <w:t>;</w:t>
      </w:r>
      <w:r>
        <w:rPr>
          <w:rFonts w:hint="eastAsia" w:ascii="宋体" w:hAnsi="宋体" w:cs="宋体"/>
          <w:color w:val="auto"/>
          <w:highlight w:val="none"/>
        </w:rPr>
        <w:t>④</w:t>
      </w:r>
      <w:r>
        <w:rPr>
          <w:rFonts w:hint="eastAsia" w:eastAsia="仿宋" w:cs="Times New Roman"/>
          <w:color w:val="auto"/>
          <w:highlight w:val="none"/>
        </w:rPr>
        <w:t>非专业化生产且非专业化执行。（冒号及分号使用了英文标点形式）</w:t>
      </w:r>
    </w:p>
    <w:p w14:paraId="392EA746">
      <w:pPr>
        <w:ind w:firstLine="480" w:firstLineChars="200"/>
        <w:rPr>
          <w:rFonts w:eastAsia="仿宋" w:cs="Times New Roman"/>
          <w:color w:val="auto"/>
          <w:highlight w:val="none"/>
        </w:rPr>
      </w:pPr>
      <w:r>
        <w:rPr>
          <w:rFonts w:hint="eastAsia" w:eastAsia="仿宋" w:cs="Times New Roman"/>
          <w:color w:val="auto"/>
          <w:highlight w:val="none"/>
        </w:rPr>
        <w:t>正确用法：图</w:t>
      </w:r>
      <w:r>
        <w:rPr>
          <w:rFonts w:eastAsia="仿宋" w:cs="Times New Roman"/>
          <w:color w:val="auto"/>
          <w:highlight w:val="none"/>
        </w:rPr>
        <w:t>1.1</w:t>
      </w:r>
      <w:r>
        <w:rPr>
          <w:rFonts w:hint="eastAsia" w:eastAsia="仿宋" w:cs="Times New Roman"/>
          <w:color w:val="auto"/>
          <w:highlight w:val="none"/>
        </w:rPr>
        <w:t>概括了社会治理规则在产生和执行上的四种不同的组合：</w:t>
      </w:r>
      <w:r>
        <w:rPr>
          <w:rFonts w:hint="eastAsia" w:ascii="宋体" w:hAnsi="宋体" w:cs="宋体"/>
          <w:color w:val="auto"/>
          <w:highlight w:val="none"/>
        </w:rPr>
        <w:t>①</w:t>
      </w:r>
      <w:r>
        <w:rPr>
          <w:rFonts w:hint="eastAsia" w:eastAsia="仿宋" w:cs="Times New Roman"/>
          <w:color w:val="auto"/>
          <w:highlight w:val="none"/>
        </w:rPr>
        <w:t>专业化生产并专业化执行；</w:t>
      </w:r>
      <w:r>
        <w:rPr>
          <w:rFonts w:hint="eastAsia" w:ascii="宋体" w:hAnsi="宋体" w:cs="宋体"/>
          <w:color w:val="auto"/>
          <w:highlight w:val="none"/>
        </w:rPr>
        <w:t>②</w:t>
      </w:r>
      <w:r>
        <w:rPr>
          <w:rFonts w:hint="eastAsia" w:eastAsia="仿宋" w:cs="Times New Roman"/>
          <w:color w:val="auto"/>
          <w:highlight w:val="none"/>
        </w:rPr>
        <w:t>专业化生产但非专业化执行；</w:t>
      </w:r>
      <w:r>
        <w:rPr>
          <w:rFonts w:hint="eastAsia" w:ascii="宋体" w:hAnsi="宋体" w:cs="宋体"/>
          <w:color w:val="auto"/>
          <w:highlight w:val="none"/>
        </w:rPr>
        <w:t>③</w:t>
      </w:r>
      <w:r>
        <w:rPr>
          <w:rFonts w:hint="eastAsia" w:eastAsia="仿宋" w:cs="Times New Roman"/>
          <w:color w:val="auto"/>
          <w:highlight w:val="none"/>
        </w:rPr>
        <w:t>非专业化生产但专业化执行；</w:t>
      </w:r>
      <w:r>
        <w:rPr>
          <w:rFonts w:hint="eastAsia" w:ascii="宋体" w:hAnsi="宋体" w:cs="宋体"/>
          <w:color w:val="auto"/>
          <w:highlight w:val="none"/>
        </w:rPr>
        <w:t>④</w:t>
      </w:r>
      <w:r>
        <w:rPr>
          <w:rFonts w:hint="eastAsia" w:eastAsia="仿宋" w:cs="Times New Roman"/>
          <w:color w:val="auto"/>
          <w:highlight w:val="none"/>
        </w:rPr>
        <w:t>非专业化生产且非专业化执行。</w:t>
      </w:r>
    </w:p>
    <w:p w14:paraId="04507EBC">
      <w:pPr>
        <w:ind w:firstLine="480" w:firstLineChars="200"/>
        <w:rPr>
          <w:color w:val="auto"/>
          <w:highlight w:val="none"/>
        </w:rPr>
      </w:pPr>
    </w:p>
    <w:p w14:paraId="4D8292A0">
      <w:pPr>
        <w:ind w:firstLine="482" w:firstLineChars="200"/>
        <w:rPr>
          <w:b/>
          <w:color w:val="auto"/>
          <w:highlight w:val="none"/>
        </w:rPr>
      </w:pPr>
      <w:r>
        <w:rPr>
          <w:b/>
          <w:color w:val="auto"/>
          <w:highlight w:val="none"/>
        </w:rPr>
        <w:t xml:space="preserve">2. </w:t>
      </w:r>
      <w:r>
        <w:rPr>
          <w:rFonts w:hint="eastAsia"/>
          <w:b/>
          <w:color w:val="auto"/>
          <w:highlight w:val="none"/>
        </w:rPr>
        <w:t>在标有引号或书名号的并列成分之间使用顿号或逗号</w:t>
      </w:r>
    </w:p>
    <w:p w14:paraId="108CBD56">
      <w:pPr>
        <w:ind w:firstLine="480" w:firstLineChars="200"/>
        <w:rPr>
          <w:rFonts w:ascii="仿宋" w:hAnsi="仿宋" w:eastAsia="仿宋"/>
          <w:color w:val="auto"/>
          <w:highlight w:val="none"/>
        </w:rPr>
      </w:pPr>
      <w:r>
        <w:rPr>
          <w:rFonts w:hint="eastAsia" w:ascii="仿宋" w:hAnsi="仿宋" w:eastAsia="仿宋"/>
          <w:color w:val="auto"/>
          <w:highlight w:val="none"/>
        </w:rPr>
        <w:t>错误用法：结果使侦查阶段的另案处理成为了迎合绩效考核的作假手段，导致“另案轻理”、“另案不理”等不良司法现象的出现。（引号表示并列成分时中间不适用顿号）</w:t>
      </w:r>
    </w:p>
    <w:p w14:paraId="06E805F0">
      <w:pPr>
        <w:ind w:firstLine="480" w:firstLineChars="200"/>
        <w:rPr>
          <w:rFonts w:ascii="仿宋" w:hAnsi="仿宋" w:eastAsia="仿宋"/>
          <w:color w:val="auto"/>
          <w:highlight w:val="none"/>
        </w:rPr>
      </w:pPr>
      <w:r>
        <w:rPr>
          <w:rFonts w:hint="eastAsia" w:ascii="仿宋" w:hAnsi="仿宋" w:eastAsia="仿宋"/>
          <w:color w:val="auto"/>
          <w:highlight w:val="none"/>
        </w:rPr>
        <w:t>正确用法：结果使侦查阶段的另案处理成为了迎合绩效考核的作假手段，导致“另案轻理”“另案不理”等不良司法现象的出现。</w:t>
      </w:r>
    </w:p>
    <w:p w14:paraId="4512200C">
      <w:pPr>
        <w:ind w:firstLine="480" w:firstLineChars="200"/>
        <w:rPr>
          <w:rFonts w:ascii="仿宋" w:hAnsi="仿宋" w:eastAsia="仿宋"/>
          <w:color w:val="auto"/>
          <w:highlight w:val="none"/>
        </w:rPr>
      </w:pPr>
      <w:r>
        <w:rPr>
          <w:rFonts w:hint="eastAsia" w:ascii="仿宋" w:hAnsi="仿宋" w:eastAsia="仿宋"/>
          <w:color w:val="auto"/>
          <w:highlight w:val="none"/>
        </w:rPr>
        <w:t>错误用法：我国第一部成文法——春秋时期李悝创制的《法经》——包括《盗法》、《贼法》、《囚法》、《捕法》、《杂法》、《具法》等</w:t>
      </w:r>
      <w:r>
        <w:rPr>
          <w:rFonts w:eastAsia="仿宋" w:cs="Times New Roman"/>
          <w:color w:val="auto"/>
          <w:highlight w:val="none"/>
        </w:rPr>
        <w:t>7</w:t>
      </w:r>
      <w:r>
        <w:rPr>
          <w:rFonts w:hint="eastAsia" w:ascii="仿宋" w:hAnsi="仿宋" w:eastAsia="仿宋"/>
          <w:color w:val="auto"/>
          <w:highlight w:val="none"/>
        </w:rPr>
        <w:t>篇。（书名号表示并列成分时中间不适用顿号）</w:t>
      </w:r>
    </w:p>
    <w:p w14:paraId="5EF69221">
      <w:pPr>
        <w:ind w:firstLine="480" w:firstLineChars="200"/>
        <w:rPr>
          <w:rFonts w:ascii="仿宋" w:hAnsi="仿宋" w:eastAsia="仿宋"/>
          <w:color w:val="auto"/>
          <w:highlight w:val="none"/>
        </w:rPr>
      </w:pPr>
      <w:r>
        <w:rPr>
          <w:rFonts w:hint="eastAsia" w:ascii="仿宋" w:hAnsi="仿宋" w:eastAsia="仿宋"/>
          <w:color w:val="auto"/>
          <w:highlight w:val="none"/>
        </w:rPr>
        <w:t>正确用法：我国第一部成文法——春秋时期李悝创制的《法经》——包括《盗法》《贼法》《囚法》《捕法》《杂法》《具法》等</w:t>
      </w:r>
      <w:r>
        <w:rPr>
          <w:rFonts w:eastAsia="仿宋" w:cs="Times New Roman"/>
          <w:color w:val="auto"/>
          <w:highlight w:val="none"/>
        </w:rPr>
        <w:t>7</w:t>
      </w:r>
      <w:r>
        <w:rPr>
          <w:rFonts w:hint="eastAsia" w:ascii="仿宋" w:hAnsi="仿宋" w:eastAsia="仿宋"/>
          <w:color w:val="auto"/>
          <w:highlight w:val="none"/>
        </w:rPr>
        <w:t>篇。</w:t>
      </w:r>
    </w:p>
    <w:p w14:paraId="2EA5B60A">
      <w:pPr>
        <w:ind w:firstLine="480" w:firstLineChars="200"/>
        <w:rPr>
          <w:color w:val="auto"/>
          <w:highlight w:val="none"/>
        </w:rPr>
      </w:pPr>
    </w:p>
    <w:p w14:paraId="2C3CE4AA">
      <w:pPr>
        <w:ind w:firstLine="482" w:firstLineChars="200"/>
        <w:rPr>
          <w:b/>
          <w:color w:val="auto"/>
          <w:highlight w:val="none"/>
        </w:rPr>
      </w:pPr>
      <w:r>
        <w:rPr>
          <w:b/>
          <w:color w:val="auto"/>
          <w:highlight w:val="none"/>
        </w:rPr>
        <w:t xml:space="preserve">3. </w:t>
      </w:r>
      <w:r>
        <w:rPr>
          <w:rFonts w:hint="eastAsia"/>
          <w:b/>
          <w:color w:val="auto"/>
          <w:highlight w:val="none"/>
        </w:rPr>
        <w:t>单书名号用大小于符号代替</w:t>
      </w:r>
    </w:p>
    <w:p w14:paraId="5D799FDD">
      <w:pPr>
        <w:ind w:firstLine="480" w:firstLineChars="200"/>
        <w:rPr>
          <w:rFonts w:ascii="仿宋" w:hAnsi="仿宋" w:eastAsia="仿宋"/>
          <w:color w:val="auto"/>
          <w:highlight w:val="none"/>
        </w:rPr>
      </w:pPr>
      <w:r>
        <w:rPr>
          <w:rFonts w:hint="eastAsia" w:ascii="仿宋" w:hAnsi="仿宋" w:eastAsia="仿宋"/>
          <w:color w:val="auto"/>
          <w:highlight w:val="none"/>
        </w:rPr>
        <w:t>错误用法：《最高人民法院关于适用</w:t>
      </w:r>
      <w:r>
        <w:rPr>
          <w:rFonts w:ascii="仿宋" w:hAnsi="仿宋" w:eastAsia="仿宋"/>
          <w:color w:val="auto"/>
          <w:highlight w:val="none"/>
        </w:rPr>
        <w:t>&lt;</w:t>
      </w:r>
      <w:r>
        <w:rPr>
          <w:rFonts w:hint="eastAsia" w:ascii="仿宋" w:hAnsi="仿宋" w:eastAsia="仿宋"/>
          <w:color w:val="auto"/>
          <w:highlight w:val="none"/>
        </w:rPr>
        <w:t>中华人民共和国刑事诉讼法</w:t>
      </w:r>
      <w:r>
        <w:rPr>
          <w:rFonts w:ascii="仿宋" w:hAnsi="仿宋" w:eastAsia="仿宋"/>
          <w:color w:val="auto"/>
          <w:highlight w:val="none"/>
        </w:rPr>
        <w:t>&gt;</w:t>
      </w:r>
      <w:r>
        <w:rPr>
          <w:rFonts w:hint="eastAsia" w:ascii="仿宋" w:hAnsi="仿宋" w:eastAsia="仿宋"/>
          <w:color w:val="auto"/>
          <w:highlight w:val="none"/>
        </w:rPr>
        <w:t>的解释》（单书名号不能用大小于符号代替）</w:t>
      </w:r>
    </w:p>
    <w:p w14:paraId="3BE73D09">
      <w:pPr>
        <w:ind w:firstLine="480" w:firstLineChars="200"/>
        <w:rPr>
          <w:color w:val="auto"/>
          <w:highlight w:val="none"/>
        </w:rPr>
      </w:pPr>
      <w:r>
        <w:rPr>
          <w:rFonts w:hint="eastAsia" w:ascii="仿宋" w:hAnsi="仿宋" w:eastAsia="仿宋"/>
          <w:color w:val="auto"/>
          <w:highlight w:val="none"/>
        </w:rPr>
        <w:t>正确用法：《最高人民法院关于适用〈中华人民共和国刑事诉讼法〉的解释》</w:t>
      </w:r>
    </w:p>
    <w:p w14:paraId="689620C6">
      <w:pPr>
        <w:ind w:firstLine="480" w:firstLineChars="200"/>
        <w:rPr>
          <w:color w:val="auto"/>
          <w:highlight w:val="none"/>
        </w:rPr>
      </w:pPr>
    </w:p>
    <w:p w14:paraId="46500441">
      <w:pPr>
        <w:ind w:firstLine="482" w:firstLineChars="200"/>
        <w:rPr>
          <w:b/>
          <w:color w:val="auto"/>
          <w:highlight w:val="none"/>
        </w:rPr>
      </w:pPr>
      <w:r>
        <w:rPr>
          <w:b/>
          <w:color w:val="auto"/>
          <w:highlight w:val="none"/>
        </w:rPr>
        <w:t xml:space="preserve">4. </w:t>
      </w:r>
      <w:r>
        <w:rPr>
          <w:rFonts w:hint="eastAsia"/>
          <w:b/>
          <w:color w:val="auto"/>
          <w:highlight w:val="none"/>
        </w:rPr>
        <w:t>引号与句末其他标点符号的位置顺序</w:t>
      </w:r>
    </w:p>
    <w:p w14:paraId="5E118D89">
      <w:pPr>
        <w:ind w:firstLine="480" w:firstLineChars="200"/>
        <w:rPr>
          <w:color w:val="auto"/>
          <w:highlight w:val="none"/>
        </w:rPr>
      </w:pPr>
      <w:r>
        <w:rPr>
          <w:rFonts w:hint="eastAsia"/>
          <w:color w:val="auto"/>
          <w:highlight w:val="none"/>
        </w:rPr>
        <w:t>主要考察引文是否完整。引号内的引文完整且独立成句时，句末其他标点符号在引号之内，否则在引号之外，例如：</w:t>
      </w:r>
    </w:p>
    <w:p w14:paraId="5DB5C8F0">
      <w:pPr>
        <w:ind w:firstLine="480" w:firstLineChars="200"/>
        <w:rPr>
          <w:rFonts w:ascii="仿宋" w:hAnsi="仿宋" w:eastAsia="仿宋"/>
          <w:color w:val="auto"/>
          <w:highlight w:val="none"/>
        </w:rPr>
      </w:pPr>
      <w:r>
        <w:rPr>
          <w:rFonts w:hint="eastAsia" w:ascii="仿宋" w:hAnsi="仿宋" w:eastAsia="仿宋"/>
          <w:color w:val="auto"/>
          <w:highlight w:val="none"/>
        </w:rPr>
        <w:t>该案仲裁条款这样约定：“仲裁庭的决定是终局并具有约束力的，任何一方都不能有针对裁决上诉至任何法院的权利。”（引号中内容单独构成完整句子）</w:t>
      </w:r>
    </w:p>
    <w:p w14:paraId="652FBF8D">
      <w:pPr>
        <w:ind w:firstLine="480" w:firstLineChars="200"/>
        <w:rPr>
          <w:rFonts w:ascii="仿宋" w:hAnsi="仿宋" w:eastAsia="仿宋"/>
          <w:color w:val="auto"/>
          <w:highlight w:val="none"/>
        </w:rPr>
      </w:pPr>
      <w:r>
        <w:rPr>
          <w:rFonts w:hint="eastAsia" w:ascii="仿宋" w:hAnsi="仿宋" w:eastAsia="仿宋"/>
          <w:color w:val="auto"/>
          <w:highlight w:val="none"/>
        </w:rPr>
        <w:t>第一，当事人选择仲裁就意味着放弃“诉诸法院的权利”。（引号中内容不构成完整句子）</w:t>
      </w:r>
    </w:p>
    <w:p w14:paraId="6A65C3FD">
      <w:pPr>
        <w:ind w:firstLine="480" w:firstLineChars="200"/>
        <w:rPr>
          <w:color w:val="auto"/>
          <w:highlight w:val="none"/>
        </w:rPr>
      </w:pPr>
      <w:r>
        <w:rPr>
          <w:rFonts w:hint="eastAsia"/>
          <w:color w:val="auto"/>
          <w:highlight w:val="none"/>
        </w:rPr>
        <w:t>此外，句末为问号或叹号时，问号或叹号应放在引号内。</w:t>
      </w:r>
    </w:p>
    <w:p w14:paraId="21AE2E8F">
      <w:pPr>
        <w:pStyle w:val="3"/>
        <w:rPr>
          <w:color w:val="auto"/>
          <w:highlight w:val="none"/>
        </w:rPr>
      </w:pPr>
      <w:bookmarkStart w:id="9" w:name="_Toc1245428996"/>
      <w:r>
        <w:rPr>
          <w:rFonts w:hint="eastAsia"/>
          <w:color w:val="auto"/>
          <w:highlight w:val="none"/>
        </w:rPr>
        <w:t>（二）禁用词</w:t>
      </w:r>
      <w:bookmarkEnd w:id="9"/>
    </w:p>
    <w:p w14:paraId="2BAEF594">
      <w:pPr>
        <w:ind w:firstLine="480" w:firstLineChars="200"/>
        <w:rPr>
          <w:color w:val="auto"/>
          <w:highlight w:val="none"/>
        </w:rPr>
      </w:pPr>
      <w:r>
        <w:rPr>
          <w:rFonts w:hint="eastAsia"/>
          <w:color w:val="auto"/>
          <w:highlight w:val="none"/>
        </w:rPr>
        <w:t>在学位论文写作过程中，较容易遇到的一类情形是涉及领土、主权和港澳台的禁用词，应特别注意在表述过程中是否存在误用，以下列举几项常见的禁用词错误：</w:t>
      </w:r>
    </w:p>
    <w:p w14:paraId="14902FF8">
      <w:pPr>
        <w:ind w:firstLine="480" w:firstLineChars="200"/>
        <w:rPr>
          <w:color w:val="auto"/>
          <w:highlight w:val="none"/>
        </w:rPr>
      </w:pPr>
      <w:r>
        <w:rPr>
          <w:color w:val="auto"/>
          <w:highlight w:val="none"/>
        </w:rPr>
        <w:t xml:space="preserve">1. </w:t>
      </w:r>
      <w:r>
        <w:rPr>
          <w:rFonts w:hint="eastAsia"/>
          <w:color w:val="auto"/>
          <w:highlight w:val="none"/>
        </w:rPr>
        <w:t>在图表或列举多个国家和地区时，如果包含香港、澳门和台湾地区，应格外注意不要漏写“（国家）和地区”字样。</w:t>
      </w:r>
    </w:p>
    <w:p w14:paraId="558F16E9">
      <w:pPr>
        <w:ind w:firstLine="480" w:firstLineChars="200"/>
        <w:rPr>
          <w:color w:val="auto"/>
          <w:highlight w:val="none"/>
        </w:rPr>
      </w:pPr>
      <w:r>
        <w:rPr>
          <w:color w:val="auto"/>
          <w:highlight w:val="none"/>
        </w:rPr>
        <w:t xml:space="preserve">2. </w:t>
      </w:r>
      <w:r>
        <w:rPr>
          <w:rFonts w:hint="eastAsia"/>
          <w:color w:val="auto"/>
          <w:highlight w:val="none"/>
        </w:rPr>
        <w:t>文中涉及“台湾”的表述，一般应改为“我国台湾地区”。对台湾当局“政权”系统和其他机构的名称，无法回避时应加引号，如我国台湾地区“立法院”“行政院”等。不得出现“中央”“国立”“中华台北”等字样，如不得不出现时应加引号。我国台湾地区“行政院长”“立法委员”等均应加引号表述。台湾“清华大学”“故宫博物院”等也应加引号。严禁用“中华民国总统（副总统）”称呼台湾地区领导人，即使加注引号也不得使用。</w:t>
      </w:r>
    </w:p>
    <w:p w14:paraId="0D351B7F">
      <w:pPr>
        <w:ind w:firstLine="480" w:firstLineChars="200"/>
        <w:rPr>
          <w:color w:val="auto"/>
          <w:highlight w:val="none"/>
        </w:rPr>
      </w:pPr>
      <w:r>
        <w:rPr>
          <w:color w:val="auto"/>
          <w:highlight w:val="none"/>
        </w:rPr>
        <w:t xml:space="preserve">3. </w:t>
      </w:r>
      <w:r>
        <w:rPr>
          <w:rFonts w:hint="eastAsia"/>
          <w:color w:val="auto"/>
          <w:highlight w:val="none"/>
        </w:rPr>
        <w:t>南沙群岛不得称为“斯普拉特利群岛”，钓鱼岛不得称为“尖阁群岛”，严禁将新疆称为“东突厥斯坦”。</w:t>
      </w:r>
    </w:p>
    <w:sectPr>
      <w:footerReference r:id="rId7" w:type="default"/>
      <w:pgSz w:w="11906" w:h="16838"/>
      <w:pgMar w:top="1701" w:right="1474" w:bottom="1418" w:left="1474"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思源宋体 CN Heavy">
    <w:altName w:val="宋体"/>
    <w:panose1 w:val="00000000000000000000"/>
    <w:charset w:val="86"/>
    <w:family w:val="roman"/>
    <w:pitch w:val="default"/>
    <w:sig w:usb0="00000000" w:usb1="00000000" w:usb2="00000016" w:usb3="00000000" w:csb0="00060107"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32053347"/>
      <w:docPartObj>
        <w:docPartGallery w:val="autotext"/>
      </w:docPartObj>
    </w:sdtPr>
    <w:sdtContent>
      <w:p w14:paraId="0069940C">
        <w:pPr>
          <w:pStyle w:val="8"/>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1719488F">
        <w:pPr>
          <w:pStyle w:val="8"/>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1223"/>
      <w:docPartObj>
        <w:docPartGallery w:val="autotext"/>
      </w:docPartObj>
    </w:sdtPr>
    <w:sdtContent>
      <w:p w14:paraId="170E54AF">
        <w:pPr>
          <w:pStyle w:val="8"/>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F751D"/>
    <w:multiLevelType w:val="singleLevel"/>
    <w:tmpl w:val="BEBF751D"/>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91C"/>
    <w:rsid w:val="000047F4"/>
    <w:rsid w:val="00004A00"/>
    <w:rsid w:val="00005A2B"/>
    <w:rsid w:val="000079F3"/>
    <w:rsid w:val="00011212"/>
    <w:rsid w:val="00011E0C"/>
    <w:rsid w:val="000121EE"/>
    <w:rsid w:val="00020C3B"/>
    <w:rsid w:val="00021126"/>
    <w:rsid w:val="0002211B"/>
    <w:rsid w:val="000244B4"/>
    <w:rsid w:val="000251E2"/>
    <w:rsid w:val="00030693"/>
    <w:rsid w:val="00030F54"/>
    <w:rsid w:val="000317C4"/>
    <w:rsid w:val="00031EAD"/>
    <w:rsid w:val="000331C9"/>
    <w:rsid w:val="00034CB4"/>
    <w:rsid w:val="00040F96"/>
    <w:rsid w:val="00046099"/>
    <w:rsid w:val="000460DB"/>
    <w:rsid w:val="0004630B"/>
    <w:rsid w:val="00051C37"/>
    <w:rsid w:val="0005307C"/>
    <w:rsid w:val="000570CC"/>
    <w:rsid w:val="00057740"/>
    <w:rsid w:val="0006200B"/>
    <w:rsid w:val="00062994"/>
    <w:rsid w:val="00062A93"/>
    <w:rsid w:val="000637CE"/>
    <w:rsid w:val="00063E16"/>
    <w:rsid w:val="00065569"/>
    <w:rsid w:val="00066DA1"/>
    <w:rsid w:val="00067D39"/>
    <w:rsid w:val="00067E25"/>
    <w:rsid w:val="000728EC"/>
    <w:rsid w:val="00073276"/>
    <w:rsid w:val="00083413"/>
    <w:rsid w:val="000861EF"/>
    <w:rsid w:val="00087A83"/>
    <w:rsid w:val="00091A30"/>
    <w:rsid w:val="000920C9"/>
    <w:rsid w:val="00095CD5"/>
    <w:rsid w:val="000A1AE2"/>
    <w:rsid w:val="000A1C02"/>
    <w:rsid w:val="000A3095"/>
    <w:rsid w:val="000B29CC"/>
    <w:rsid w:val="000B4262"/>
    <w:rsid w:val="000B5907"/>
    <w:rsid w:val="000B5EF0"/>
    <w:rsid w:val="000B6085"/>
    <w:rsid w:val="000B6761"/>
    <w:rsid w:val="000B6E22"/>
    <w:rsid w:val="000C0EF5"/>
    <w:rsid w:val="000C183E"/>
    <w:rsid w:val="000C2380"/>
    <w:rsid w:val="000D1821"/>
    <w:rsid w:val="000D19CA"/>
    <w:rsid w:val="000E0F9B"/>
    <w:rsid w:val="000E1B1E"/>
    <w:rsid w:val="000E1C79"/>
    <w:rsid w:val="000E6263"/>
    <w:rsid w:val="000E6331"/>
    <w:rsid w:val="000F55A1"/>
    <w:rsid w:val="000F71F6"/>
    <w:rsid w:val="000F782E"/>
    <w:rsid w:val="001020C2"/>
    <w:rsid w:val="00102C2A"/>
    <w:rsid w:val="00103D45"/>
    <w:rsid w:val="00110A4F"/>
    <w:rsid w:val="0011147B"/>
    <w:rsid w:val="001124ED"/>
    <w:rsid w:val="001146B9"/>
    <w:rsid w:val="00115C41"/>
    <w:rsid w:val="001174A9"/>
    <w:rsid w:val="00117E25"/>
    <w:rsid w:val="00117F48"/>
    <w:rsid w:val="001223FA"/>
    <w:rsid w:val="00123C3E"/>
    <w:rsid w:val="00124EFB"/>
    <w:rsid w:val="001254BD"/>
    <w:rsid w:val="00125951"/>
    <w:rsid w:val="00131437"/>
    <w:rsid w:val="00134957"/>
    <w:rsid w:val="00135088"/>
    <w:rsid w:val="00142BEB"/>
    <w:rsid w:val="0015275A"/>
    <w:rsid w:val="00160B63"/>
    <w:rsid w:val="00164035"/>
    <w:rsid w:val="00164905"/>
    <w:rsid w:val="00170533"/>
    <w:rsid w:val="0017065D"/>
    <w:rsid w:val="00170DA9"/>
    <w:rsid w:val="00170F85"/>
    <w:rsid w:val="001724D0"/>
    <w:rsid w:val="001747F8"/>
    <w:rsid w:val="00180723"/>
    <w:rsid w:val="00181067"/>
    <w:rsid w:val="00182299"/>
    <w:rsid w:val="001849D0"/>
    <w:rsid w:val="00185AA0"/>
    <w:rsid w:val="001864CD"/>
    <w:rsid w:val="0019233D"/>
    <w:rsid w:val="00195DF6"/>
    <w:rsid w:val="001A2E78"/>
    <w:rsid w:val="001A352B"/>
    <w:rsid w:val="001A5420"/>
    <w:rsid w:val="001B07F8"/>
    <w:rsid w:val="001B0D51"/>
    <w:rsid w:val="001B1501"/>
    <w:rsid w:val="001B248E"/>
    <w:rsid w:val="001B2C18"/>
    <w:rsid w:val="001B58A8"/>
    <w:rsid w:val="001B5B51"/>
    <w:rsid w:val="001C0424"/>
    <w:rsid w:val="001C4B57"/>
    <w:rsid w:val="001C4C84"/>
    <w:rsid w:val="001C556B"/>
    <w:rsid w:val="001C73E1"/>
    <w:rsid w:val="001D300D"/>
    <w:rsid w:val="001D38DF"/>
    <w:rsid w:val="001D429D"/>
    <w:rsid w:val="001D6EBA"/>
    <w:rsid w:val="001E2773"/>
    <w:rsid w:val="001E4CC9"/>
    <w:rsid w:val="001E79CE"/>
    <w:rsid w:val="001E7E52"/>
    <w:rsid w:val="001F2A6E"/>
    <w:rsid w:val="001F6980"/>
    <w:rsid w:val="002038DC"/>
    <w:rsid w:val="002073D8"/>
    <w:rsid w:val="00211921"/>
    <w:rsid w:val="00212411"/>
    <w:rsid w:val="00212F83"/>
    <w:rsid w:val="00214F82"/>
    <w:rsid w:val="002173E5"/>
    <w:rsid w:val="00224C7E"/>
    <w:rsid w:val="002263D2"/>
    <w:rsid w:val="002270C7"/>
    <w:rsid w:val="00242480"/>
    <w:rsid w:val="002459B7"/>
    <w:rsid w:val="002474D9"/>
    <w:rsid w:val="002509CC"/>
    <w:rsid w:val="0025117A"/>
    <w:rsid w:val="00251604"/>
    <w:rsid w:val="00253226"/>
    <w:rsid w:val="00254891"/>
    <w:rsid w:val="0025514E"/>
    <w:rsid w:val="002556B5"/>
    <w:rsid w:val="00260A30"/>
    <w:rsid w:val="0026423D"/>
    <w:rsid w:val="00266ACE"/>
    <w:rsid w:val="00266D13"/>
    <w:rsid w:val="002676C6"/>
    <w:rsid w:val="0027054F"/>
    <w:rsid w:val="00275D9C"/>
    <w:rsid w:val="00280941"/>
    <w:rsid w:val="00280D1A"/>
    <w:rsid w:val="00282BC9"/>
    <w:rsid w:val="00283DD1"/>
    <w:rsid w:val="00286B69"/>
    <w:rsid w:val="002874A1"/>
    <w:rsid w:val="002878AB"/>
    <w:rsid w:val="00287A85"/>
    <w:rsid w:val="0029014C"/>
    <w:rsid w:val="00291C94"/>
    <w:rsid w:val="00294BFF"/>
    <w:rsid w:val="00294C37"/>
    <w:rsid w:val="002A155D"/>
    <w:rsid w:val="002A6734"/>
    <w:rsid w:val="002B00D4"/>
    <w:rsid w:val="002B06EA"/>
    <w:rsid w:val="002B5404"/>
    <w:rsid w:val="002B7711"/>
    <w:rsid w:val="002C4096"/>
    <w:rsid w:val="002D0ACF"/>
    <w:rsid w:val="002D24C9"/>
    <w:rsid w:val="002E0C5C"/>
    <w:rsid w:val="002E683B"/>
    <w:rsid w:val="002E691E"/>
    <w:rsid w:val="002F35EE"/>
    <w:rsid w:val="002F4092"/>
    <w:rsid w:val="002F4F9F"/>
    <w:rsid w:val="002F5291"/>
    <w:rsid w:val="002F6B54"/>
    <w:rsid w:val="002F6FC5"/>
    <w:rsid w:val="00304FA8"/>
    <w:rsid w:val="00313267"/>
    <w:rsid w:val="0031349A"/>
    <w:rsid w:val="00315D75"/>
    <w:rsid w:val="00323A97"/>
    <w:rsid w:val="0032570E"/>
    <w:rsid w:val="003261DA"/>
    <w:rsid w:val="00327FF7"/>
    <w:rsid w:val="003304ED"/>
    <w:rsid w:val="003311BA"/>
    <w:rsid w:val="0033293E"/>
    <w:rsid w:val="00332982"/>
    <w:rsid w:val="00332F3D"/>
    <w:rsid w:val="00333A2F"/>
    <w:rsid w:val="0033521F"/>
    <w:rsid w:val="00336ACA"/>
    <w:rsid w:val="00340035"/>
    <w:rsid w:val="003402D0"/>
    <w:rsid w:val="003410CD"/>
    <w:rsid w:val="00342634"/>
    <w:rsid w:val="003438A1"/>
    <w:rsid w:val="00344418"/>
    <w:rsid w:val="00344467"/>
    <w:rsid w:val="00344CB4"/>
    <w:rsid w:val="00346671"/>
    <w:rsid w:val="00352A96"/>
    <w:rsid w:val="003546E8"/>
    <w:rsid w:val="00355FFD"/>
    <w:rsid w:val="00364151"/>
    <w:rsid w:val="00370498"/>
    <w:rsid w:val="003716AF"/>
    <w:rsid w:val="00382B6B"/>
    <w:rsid w:val="0038414B"/>
    <w:rsid w:val="00387C6E"/>
    <w:rsid w:val="0039023B"/>
    <w:rsid w:val="003932BD"/>
    <w:rsid w:val="00394D7C"/>
    <w:rsid w:val="003951EF"/>
    <w:rsid w:val="0039686D"/>
    <w:rsid w:val="00396D19"/>
    <w:rsid w:val="003A0062"/>
    <w:rsid w:val="003A0DBF"/>
    <w:rsid w:val="003B28C8"/>
    <w:rsid w:val="003B3B61"/>
    <w:rsid w:val="003C0EFA"/>
    <w:rsid w:val="003C149D"/>
    <w:rsid w:val="003C1700"/>
    <w:rsid w:val="003C2B72"/>
    <w:rsid w:val="003C6076"/>
    <w:rsid w:val="003C6B83"/>
    <w:rsid w:val="003D0460"/>
    <w:rsid w:val="003D225F"/>
    <w:rsid w:val="003D36B1"/>
    <w:rsid w:val="003E314A"/>
    <w:rsid w:val="003E6728"/>
    <w:rsid w:val="003F222B"/>
    <w:rsid w:val="003F7831"/>
    <w:rsid w:val="003F7E74"/>
    <w:rsid w:val="0040182B"/>
    <w:rsid w:val="00405BB2"/>
    <w:rsid w:val="0041057A"/>
    <w:rsid w:val="00417D04"/>
    <w:rsid w:val="004274D0"/>
    <w:rsid w:val="00432474"/>
    <w:rsid w:val="00432A55"/>
    <w:rsid w:val="0043305A"/>
    <w:rsid w:val="00434064"/>
    <w:rsid w:val="00435485"/>
    <w:rsid w:val="00436733"/>
    <w:rsid w:val="00436E06"/>
    <w:rsid w:val="004448D0"/>
    <w:rsid w:val="00445210"/>
    <w:rsid w:val="00451124"/>
    <w:rsid w:val="00451656"/>
    <w:rsid w:val="00451785"/>
    <w:rsid w:val="0045506E"/>
    <w:rsid w:val="00461D40"/>
    <w:rsid w:val="0046254E"/>
    <w:rsid w:val="00463140"/>
    <w:rsid w:val="004666B1"/>
    <w:rsid w:val="004715D6"/>
    <w:rsid w:val="0047667D"/>
    <w:rsid w:val="00477A44"/>
    <w:rsid w:val="004809DD"/>
    <w:rsid w:val="00480D13"/>
    <w:rsid w:val="004818E2"/>
    <w:rsid w:val="00487241"/>
    <w:rsid w:val="0049502E"/>
    <w:rsid w:val="00495263"/>
    <w:rsid w:val="004A0105"/>
    <w:rsid w:val="004A1BD8"/>
    <w:rsid w:val="004A3BA3"/>
    <w:rsid w:val="004A683B"/>
    <w:rsid w:val="004B16F2"/>
    <w:rsid w:val="004B1747"/>
    <w:rsid w:val="004B7393"/>
    <w:rsid w:val="004C0529"/>
    <w:rsid w:val="004C15CE"/>
    <w:rsid w:val="004C4F5F"/>
    <w:rsid w:val="004C63A5"/>
    <w:rsid w:val="004D2040"/>
    <w:rsid w:val="004D2175"/>
    <w:rsid w:val="004D2DA6"/>
    <w:rsid w:val="004D748B"/>
    <w:rsid w:val="004E1D50"/>
    <w:rsid w:val="004E1F2A"/>
    <w:rsid w:val="004E3E3B"/>
    <w:rsid w:val="004F0125"/>
    <w:rsid w:val="004F0B7C"/>
    <w:rsid w:val="004F1F63"/>
    <w:rsid w:val="004F28CA"/>
    <w:rsid w:val="004F5EC5"/>
    <w:rsid w:val="004F6C07"/>
    <w:rsid w:val="004F78F8"/>
    <w:rsid w:val="004F7F9D"/>
    <w:rsid w:val="00501E30"/>
    <w:rsid w:val="00501ED8"/>
    <w:rsid w:val="00506B76"/>
    <w:rsid w:val="00515933"/>
    <w:rsid w:val="00516591"/>
    <w:rsid w:val="005171C8"/>
    <w:rsid w:val="00520FB3"/>
    <w:rsid w:val="00522A78"/>
    <w:rsid w:val="0052625F"/>
    <w:rsid w:val="005264A0"/>
    <w:rsid w:val="005308B3"/>
    <w:rsid w:val="00534BB0"/>
    <w:rsid w:val="00535DC2"/>
    <w:rsid w:val="00535FD4"/>
    <w:rsid w:val="00536033"/>
    <w:rsid w:val="00537576"/>
    <w:rsid w:val="005379E9"/>
    <w:rsid w:val="00540001"/>
    <w:rsid w:val="0054179A"/>
    <w:rsid w:val="00542EA8"/>
    <w:rsid w:val="00542F07"/>
    <w:rsid w:val="0054469D"/>
    <w:rsid w:val="0054472D"/>
    <w:rsid w:val="00545736"/>
    <w:rsid w:val="005468B0"/>
    <w:rsid w:val="0054769F"/>
    <w:rsid w:val="005505FE"/>
    <w:rsid w:val="00552756"/>
    <w:rsid w:val="0056153D"/>
    <w:rsid w:val="00562796"/>
    <w:rsid w:val="00565420"/>
    <w:rsid w:val="005670F3"/>
    <w:rsid w:val="00572B21"/>
    <w:rsid w:val="00573C20"/>
    <w:rsid w:val="00574A1F"/>
    <w:rsid w:val="00575749"/>
    <w:rsid w:val="00580BAF"/>
    <w:rsid w:val="005829E9"/>
    <w:rsid w:val="005853CE"/>
    <w:rsid w:val="00585A35"/>
    <w:rsid w:val="005935AC"/>
    <w:rsid w:val="0059377C"/>
    <w:rsid w:val="00594244"/>
    <w:rsid w:val="0059585A"/>
    <w:rsid w:val="0059786C"/>
    <w:rsid w:val="005A1104"/>
    <w:rsid w:val="005A3BDD"/>
    <w:rsid w:val="005A52EE"/>
    <w:rsid w:val="005A5914"/>
    <w:rsid w:val="005A78F0"/>
    <w:rsid w:val="005A7C63"/>
    <w:rsid w:val="005B0039"/>
    <w:rsid w:val="005B191E"/>
    <w:rsid w:val="005B2169"/>
    <w:rsid w:val="005B379C"/>
    <w:rsid w:val="005B6A89"/>
    <w:rsid w:val="005C1515"/>
    <w:rsid w:val="005C35B0"/>
    <w:rsid w:val="005C4907"/>
    <w:rsid w:val="005C569F"/>
    <w:rsid w:val="005C7959"/>
    <w:rsid w:val="005D1703"/>
    <w:rsid w:val="005D59F4"/>
    <w:rsid w:val="005E74FC"/>
    <w:rsid w:val="005F2546"/>
    <w:rsid w:val="005F6741"/>
    <w:rsid w:val="006063CA"/>
    <w:rsid w:val="00607298"/>
    <w:rsid w:val="00610180"/>
    <w:rsid w:val="0061033A"/>
    <w:rsid w:val="00610683"/>
    <w:rsid w:val="00610A3F"/>
    <w:rsid w:val="00611558"/>
    <w:rsid w:val="00613200"/>
    <w:rsid w:val="00620B71"/>
    <w:rsid w:val="00632D8F"/>
    <w:rsid w:val="006362E8"/>
    <w:rsid w:val="006418C0"/>
    <w:rsid w:val="00642822"/>
    <w:rsid w:val="00642F96"/>
    <w:rsid w:val="00644820"/>
    <w:rsid w:val="006455BB"/>
    <w:rsid w:val="0064748D"/>
    <w:rsid w:val="00647C8E"/>
    <w:rsid w:val="00650005"/>
    <w:rsid w:val="00650684"/>
    <w:rsid w:val="006537E3"/>
    <w:rsid w:val="00654543"/>
    <w:rsid w:val="006550B4"/>
    <w:rsid w:val="00655802"/>
    <w:rsid w:val="00661462"/>
    <w:rsid w:val="00663191"/>
    <w:rsid w:val="0066491C"/>
    <w:rsid w:val="00665CFF"/>
    <w:rsid w:val="006729B4"/>
    <w:rsid w:val="00680FD7"/>
    <w:rsid w:val="00682674"/>
    <w:rsid w:val="00684B10"/>
    <w:rsid w:val="00687CA4"/>
    <w:rsid w:val="0069039E"/>
    <w:rsid w:val="006916DB"/>
    <w:rsid w:val="00694699"/>
    <w:rsid w:val="00695724"/>
    <w:rsid w:val="00697C78"/>
    <w:rsid w:val="006A074E"/>
    <w:rsid w:val="006A4E97"/>
    <w:rsid w:val="006A5AFD"/>
    <w:rsid w:val="006A7404"/>
    <w:rsid w:val="006A7804"/>
    <w:rsid w:val="006B134A"/>
    <w:rsid w:val="006B292C"/>
    <w:rsid w:val="006B7EFD"/>
    <w:rsid w:val="006B7FEF"/>
    <w:rsid w:val="006C03AE"/>
    <w:rsid w:val="006C1460"/>
    <w:rsid w:val="006C2CCD"/>
    <w:rsid w:val="006C321C"/>
    <w:rsid w:val="006C40BD"/>
    <w:rsid w:val="006C5866"/>
    <w:rsid w:val="006C6007"/>
    <w:rsid w:val="006C7CF2"/>
    <w:rsid w:val="006D04CA"/>
    <w:rsid w:val="006D15EE"/>
    <w:rsid w:val="006D2254"/>
    <w:rsid w:val="006D3320"/>
    <w:rsid w:val="006D71F7"/>
    <w:rsid w:val="006E4CC5"/>
    <w:rsid w:val="006E4D86"/>
    <w:rsid w:val="006F38A1"/>
    <w:rsid w:val="006F4CFE"/>
    <w:rsid w:val="006F5B7C"/>
    <w:rsid w:val="006F649E"/>
    <w:rsid w:val="00701F17"/>
    <w:rsid w:val="00704C96"/>
    <w:rsid w:val="00704D85"/>
    <w:rsid w:val="00707ACD"/>
    <w:rsid w:val="007111F0"/>
    <w:rsid w:val="00712409"/>
    <w:rsid w:val="007163B4"/>
    <w:rsid w:val="00716843"/>
    <w:rsid w:val="00717877"/>
    <w:rsid w:val="00722281"/>
    <w:rsid w:val="0072262B"/>
    <w:rsid w:val="007241FE"/>
    <w:rsid w:val="0072435A"/>
    <w:rsid w:val="007250E4"/>
    <w:rsid w:val="007331EE"/>
    <w:rsid w:val="00733559"/>
    <w:rsid w:val="00736597"/>
    <w:rsid w:val="00741F9B"/>
    <w:rsid w:val="00742201"/>
    <w:rsid w:val="007424CE"/>
    <w:rsid w:val="007451BD"/>
    <w:rsid w:val="00745E8F"/>
    <w:rsid w:val="0076031C"/>
    <w:rsid w:val="00770E4B"/>
    <w:rsid w:val="00771C37"/>
    <w:rsid w:val="007720E4"/>
    <w:rsid w:val="00776AD3"/>
    <w:rsid w:val="0077747E"/>
    <w:rsid w:val="007829DD"/>
    <w:rsid w:val="007972BB"/>
    <w:rsid w:val="007A298B"/>
    <w:rsid w:val="007A33CC"/>
    <w:rsid w:val="007A4936"/>
    <w:rsid w:val="007A7750"/>
    <w:rsid w:val="007B007C"/>
    <w:rsid w:val="007B09CE"/>
    <w:rsid w:val="007B0BFC"/>
    <w:rsid w:val="007B1000"/>
    <w:rsid w:val="007B607C"/>
    <w:rsid w:val="007C03F9"/>
    <w:rsid w:val="007C2BB3"/>
    <w:rsid w:val="007C34E1"/>
    <w:rsid w:val="007C4582"/>
    <w:rsid w:val="007C56D3"/>
    <w:rsid w:val="007C736F"/>
    <w:rsid w:val="007D40EF"/>
    <w:rsid w:val="007E0CDB"/>
    <w:rsid w:val="007E48D1"/>
    <w:rsid w:val="007E615D"/>
    <w:rsid w:val="007E7C92"/>
    <w:rsid w:val="007F1F5D"/>
    <w:rsid w:val="007F338D"/>
    <w:rsid w:val="007F5348"/>
    <w:rsid w:val="007F56E5"/>
    <w:rsid w:val="007F7566"/>
    <w:rsid w:val="0080090A"/>
    <w:rsid w:val="008012B7"/>
    <w:rsid w:val="00805469"/>
    <w:rsid w:val="0081291E"/>
    <w:rsid w:val="008137A1"/>
    <w:rsid w:val="00815DE3"/>
    <w:rsid w:val="0081697E"/>
    <w:rsid w:val="00817DD8"/>
    <w:rsid w:val="008206F2"/>
    <w:rsid w:val="0082369B"/>
    <w:rsid w:val="00827E9C"/>
    <w:rsid w:val="0083162B"/>
    <w:rsid w:val="00832788"/>
    <w:rsid w:val="00841CC1"/>
    <w:rsid w:val="0084222D"/>
    <w:rsid w:val="00842970"/>
    <w:rsid w:val="00846E6E"/>
    <w:rsid w:val="0085050A"/>
    <w:rsid w:val="00850EC6"/>
    <w:rsid w:val="0085326D"/>
    <w:rsid w:val="0085405A"/>
    <w:rsid w:val="008638B4"/>
    <w:rsid w:val="00865A24"/>
    <w:rsid w:val="00865BFC"/>
    <w:rsid w:val="00872917"/>
    <w:rsid w:val="00872D73"/>
    <w:rsid w:val="00873EAC"/>
    <w:rsid w:val="0087518B"/>
    <w:rsid w:val="008775BC"/>
    <w:rsid w:val="0088069F"/>
    <w:rsid w:val="00880A71"/>
    <w:rsid w:val="00883E07"/>
    <w:rsid w:val="00885531"/>
    <w:rsid w:val="008862BB"/>
    <w:rsid w:val="00891407"/>
    <w:rsid w:val="008918B3"/>
    <w:rsid w:val="008937C1"/>
    <w:rsid w:val="00895651"/>
    <w:rsid w:val="00896DF1"/>
    <w:rsid w:val="008A0DDF"/>
    <w:rsid w:val="008A3D70"/>
    <w:rsid w:val="008A564A"/>
    <w:rsid w:val="008A5BEC"/>
    <w:rsid w:val="008B1EBF"/>
    <w:rsid w:val="008B2C33"/>
    <w:rsid w:val="008B502A"/>
    <w:rsid w:val="008B7234"/>
    <w:rsid w:val="008B74D2"/>
    <w:rsid w:val="008C631A"/>
    <w:rsid w:val="008C750A"/>
    <w:rsid w:val="008D02D1"/>
    <w:rsid w:val="008D737C"/>
    <w:rsid w:val="008E2BD3"/>
    <w:rsid w:val="008E6275"/>
    <w:rsid w:val="008F0F64"/>
    <w:rsid w:val="008F1BBE"/>
    <w:rsid w:val="008F3D9A"/>
    <w:rsid w:val="008F4434"/>
    <w:rsid w:val="008F5965"/>
    <w:rsid w:val="00906AD6"/>
    <w:rsid w:val="009074AF"/>
    <w:rsid w:val="0091014A"/>
    <w:rsid w:val="0091519A"/>
    <w:rsid w:val="00915289"/>
    <w:rsid w:val="009152E6"/>
    <w:rsid w:val="00921E1B"/>
    <w:rsid w:val="00924556"/>
    <w:rsid w:val="00927D02"/>
    <w:rsid w:val="00930936"/>
    <w:rsid w:val="0093223D"/>
    <w:rsid w:val="00933B53"/>
    <w:rsid w:val="00935C0B"/>
    <w:rsid w:val="009373E7"/>
    <w:rsid w:val="00942779"/>
    <w:rsid w:val="00942E62"/>
    <w:rsid w:val="00947C94"/>
    <w:rsid w:val="0095316B"/>
    <w:rsid w:val="009540B9"/>
    <w:rsid w:val="009548D3"/>
    <w:rsid w:val="00956185"/>
    <w:rsid w:val="00956960"/>
    <w:rsid w:val="009575E9"/>
    <w:rsid w:val="0096187F"/>
    <w:rsid w:val="009664CB"/>
    <w:rsid w:val="009672D8"/>
    <w:rsid w:val="00974FDB"/>
    <w:rsid w:val="00980E6E"/>
    <w:rsid w:val="009824B8"/>
    <w:rsid w:val="00983D37"/>
    <w:rsid w:val="00984F2D"/>
    <w:rsid w:val="009854D0"/>
    <w:rsid w:val="00986324"/>
    <w:rsid w:val="00986EF2"/>
    <w:rsid w:val="00987A9D"/>
    <w:rsid w:val="00990E4D"/>
    <w:rsid w:val="0099106E"/>
    <w:rsid w:val="00994231"/>
    <w:rsid w:val="0099460E"/>
    <w:rsid w:val="00994B4F"/>
    <w:rsid w:val="00995717"/>
    <w:rsid w:val="00995D34"/>
    <w:rsid w:val="00997B3E"/>
    <w:rsid w:val="009A043D"/>
    <w:rsid w:val="009A31C4"/>
    <w:rsid w:val="009B0DB0"/>
    <w:rsid w:val="009B17E1"/>
    <w:rsid w:val="009B2645"/>
    <w:rsid w:val="009B5E08"/>
    <w:rsid w:val="009B7761"/>
    <w:rsid w:val="009C1F42"/>
    <w:rsid w:val="009C3A8C"/>
    <w:rsid w:val="009C67D0"/>
    <w:rsid w:val="009C6A84"/>
    <w:rsid w:val="009D0386"/>
    <w:rsid w:val="009D63DB"/>
    <w:rsid w:val="009D7751"/>
    <w:rsid w:val="009D789C"/>
    <w:rsid w:val="009D7A4C"/>
    <w:rsid w:val="009E5FDB"/>
    <w:rsid w:val="009E6CF4"/>
    <w:rsid w:val="009F09EA"/>
    <w:rsid w:val="009F0A27"/>
    <w:rsid w:val="009F51FA"/>
    <w:rsid w:val="009F67AA"/>
    <w:rsid w:val="009F6A1F"/>
    <w:rsid w:val="00A04333"/>
    <w:rsid w:val="00A04DF0"/>
    <w:rsid w:val="00A05732"/>
    <w:rsid w:val="00A05CF5"/>
    <w:rsid w:val="00A0686D"/>
    <w:rsid w:val="00A108E0"/>
    <w:rsid w:val="00A10EA9"/>
    <w:rsid w:val="00A135D7"/>
    <w:rsid w:val="00A20246"/>
    <w:rsid w:val="00A20694"/>
    <w:rsid w:val="00A22D92"/>
    <w:rsid w:val="00A26B90"/>
    <w:rsid w:val="00A2798E"/>
    <w:rsid w:val="00A33536"/>
    <w:rsid w:val="00A336D2"/>
    <w:rsid w:val="00A33F95"/>
    <w:rsid w:val="00A376FC"/>
    <w:rsid w:val="00A378E6"/>
    <w:rsid w:val="00A37B97"/>
    <w:rsid w:val="00A401D7"/>
    <w:rsid w:val="00A4060B"/>
    <w:rsid w:val="00A4167E"/>
    <w:rsid w:val="00A42D51"/>
    <w:rsid w:val="00A4309F"/>
    <w:rsid w:val="00A468F5"/>
    <w:rsid w:val="00A46C71"/>
    <w:rsid w:val="00A46E6C"/>
    <w:rsid w:val="00A51713"/>
    <w:rsid w:val="00A518D5"/>
    <w:rsid w:val="00A51E3D"/>
    <w:rsid w:val="00A52434"/>
    <w:rsid w:val="00A57A59"/>
    <w:rsid w:val="00A61F4A"/>
    <w:rsid w:val="00A659C9"/>
    <w:rsid w:val="00A66F5A"/>
    <w:rsid w:val="00A6717C"/>
    <w:rsid w:val="00A677FD"/>
    <w:rsid w:val="00A72FED"/>
    <w:rsid w:val="00A73489"/>
    <w:rsid w:val="00A73EC6"/>
    <w:rsid w:val="00A76480"/>
    <w:rsid w:val="00A80859"/>
    <w:rsid w:val="00A83319"/>
    <w:rsid w:val="00A85A0D"/>
    <w:rsid w:val="00A90654"/>
    <w:rsid w:val="00A93DBB"/>
    <w:rsid w:val="00A95F60"/>
    <w:rsid w:val="00A97B37"/>
    <w:rsid w:val="00AA53D0"/>
    <w:rsid w:val="00AA60CC"/>
    <w:rsid w:val="00AA720D"/>
    <w:rsid w:val="00AB143B"/>
    <w:rsid w:val="00AB16F3"/>
    <w:rsid w:val="00AB33C7"/>
    <w:rsid w:val="00AB78BA"/>
    <w:rsid w:val="00AC09EB"/>
    <w:rsid w:val="00AC12B9"/>
    <w:rsid w:val="00AC3921"/>
    <w:rsid w:val="00AC496B"/>
    <w:rsid w:val="00AC4C9E"/>
    <w:rsid w:val="00AD44FA"/>
    <w:rsid w:val="00AD5D20"/>
    <w:rsid w:val="00AD6319"/>
    <w:rsid w:val="00AD7E85"/>
    <w:rsid w:val="00AE236B"/>
    <w:rsid w:val="00AE33DC"/>
    <w:rsid w:val="00AE55D6"/>
    <w:rsid w:val="00AE7F8C"/>
    <w:rsid w:val="00AF7607"/>
    <w:rsid w:val="00B0044C"/>
    <w:rsid w:val="00B00F8B"/>
    <w:rsid w:val="00B06B73"/>
    <w:rsid w:val="00B0725E"/>
    <w:rsid w:val="00B15192"/>
    <w:rsid w:val="00B164B1"/>
    <w:rsid w:val="00B237E6"/>
    <w:rsid w:val="00B266E8"/>
    <w:rsid w:val="00B271B5"/>
    <w:rsid w:val="00B320EC"/>
    <w:rsid w:val="00B33B4B"/>
    <w:rsid w:val="00B34F10"/>
    <w:rsid w:val="00B40975"/>
    <w:rsid w:val="00B41A88"/>
    <w:rsid w:val="00B42F09"/>
    <w:rsid w:val="00B43226"/>
    <w:rsid w:val="00B4392F"/>
    <w:rsid w:val="00B444C9"/>
    <w:rsid w:val="00B44DE7"/>
    <w:rsid w:val="00B45651"/>
    <w:rsid w:val="00B506C4"/>
    <w:rsid w:val="00B5071D"/>
    <w:rsid w:val="00B52B2A"/>
    <w:rsid w:val="00B54101"/>
    <w:rsid w:val="00B65718"/>
    <w:rsid w:val="00B67BA8"/>
    <w:rsid w:val="00B708A0"/>
    <w:rsid w:val="00B72099"/>
    <w:rsid w:val="00B73AB2"/>
    <w:rsid w:val="00B73EB4"/>
    <w:rsid w:val="00B7404D"/>
    <w:rsid w:val="00B74CBD"/>
    <w:rsid w:val="00B8075A"/>
    <w:rsid w:val="00B820A8"/>
    <w:rsid w:val="00B853A5"/>
    <w:rsid w:val="00B86FA3"/>
    <w:rsid w:val="00B8789E"/>
    <w:rsid w:val="00B91BA4"/>
    <w:rsid w:val="00B9602E"/>
    <w:rsid w:val="00B972F8"/>
    <w:rsid w:val="00BA1849"/>
    <w:rsid w:val="00BA2724"/>
    <w:rsid w:val="00BA2C43"/>
    <w:rsid w:val="00BA4AF4"/>
    <w:rsid w:val="00BA4F64"/>
    <w:rsid w:val="00BA5D53"/>
    <w:rsid w:val="00BA7FFD"/>
    <w:rsid w:val="00BB1109"/>
    <w:rsid w:val="00BB13CC"/>
    <w:rsid w:val="00BB28A0"/>
    <w:rsid w:val="00BB2DEC"/>
    <w:rsid w:val="00BC580D"/>
    <w:rsid w:val="00BC608A"/>
    <w:rsid w:val="00BD4769"/>
    <w:rsid w:val="00BD5C14"/>
    <w:rsid w:val="00BE0563"/>
    <w:rsid w:val="00BE2037"/>
    <w:rsid w:val="00BE3E52"/>
    <w:rsid w:val="00BE6318"/>
    <w:rsid w:val="00BF06D7"/>
    <w:rsid w:val="00BF29F1"/>
    <w:rsid w:val="00BF5A7A"/>
    <w:rsid w:val="00BF7B23"/>
    <w:rsid w:val="00C00666"/>
    <w:rsid w:val="00C00DEA"/>
    <w:rsid w:val="00C00E2B"/>
    <w:rsid w:val="00C01F31"/>
    <w:rsid w:val="00C043E7"/>
    <w:rsid w:val="00C1047D"/>
    <w:rsid w:val="00C1725E"/>
    <w:rsid w:val="00C2420C"/>
    <w:rsid w:val="00C25D7C"/>
    <w:rsid w:val="00C25DC9"/>
    <w:rsid w:val="00C25F55"/>
    <w:rsid w:val="00C278C9"/>
    <w:rsid w:val="00C33115"/>
    <w:rsid w:val="00C348E1"/>
    <w:rsid w:val="00C34D16"/>
    <w:rsid w:val="00C35DCE"/>
    <w:rsid w:val="00C362A7"/>
    <w:rsid w:val="00C3755B"/>
    <w:rsid w:val="00C41433"/>
    <w:rsid w:val="00C41988"/>
    <w:rsid w:val="00C440BA"/>
    <w:rsid w:val="00C465F0"/>
    <w:rsid w:val="00C50328"/>
    <w:rsid w:val="00C506A6"/>
    <w:rsid w:val="00C51F92"/>
    <w:rsid w:val="00C5266E"/>
    <w:rsid w:val="00C528D6"/>
    <w:rsid w:val="00C52D00"/>
    <w:rsid w:val="00C54D8A"/>
    <w:rsid w:val="00C554A3"/>
    <w:rsid w:val="00C557EE"/>
    <w:rsid w:val="00C560F7"/>
    <w:rsid w:val="00C56853"/>
    <w:rsid w:val="00C63D19"/>
    <w:rsid w:val="00C71349"/>
    <w:rsid w:val="00C7416D"/>
    <w:rsid w:val="00C74235"/>
    <w:rsid w:val="00C75D04"/>
    <w:rsid w:val="00C76813"/>
    <w:rsid w:val="00C82E52"/>
    <w:rsid w:val="00C84C47"/>
    <w:rsid w:val="00C85A50"/>
    <w:rsid w:val="00C85AE6"/>
    <w:rsid w:val="00C85C00"/>
    <w:rsid w:val="00C87507"/>
    <w:rsid w:val="00C9113E"/>
    <w:rsid w:val="00C95521"/>
    <w:rsid w:val="00C96419"/>
    <w:rsid w:val="00C9742D"/>
    <w:rsid w:val="00CA335E"/>
    <w:rsid w:val="00CA37AF"/>
    <w:rsid w:val="00CA598B"/>
    <w:rsid w:val="00CB0052"/>
    <w:rsid w:val="00CC0E0D"/>
    <w:rsid w:val="00CC135E"/>
    <w:rsid w:val="00CC1A74"/>
    <w:rsid w:val="00CC1B55"/>
    <w:rsid w:val="00CC2F42"/>
    <w:rsid w:val="00CC603D"/>
    <w:rsid w:val="00CC777A"/>
    <w:rsid w:val="00CD0D5D"/>
    <w:rsid w:val="00CD2B26"/>
    <w:rsid w:val="00CD2CBF"/>
    <w:rsid w:val="00CD68AA"/>
    <w:rsid w:val="00CE0D90"/>
    <w:rsid w:val="00CE3460"/>
    <w:rsid w:val="00CE44BB"/>
    <w:rsid w:val="00CE5164"/>
    <w:rsid w:val="00CE7EDA"/>
    <w:rsid w:val="00CF0052"/>
    <w:rsid w:val="00CF3583"/>
    <w:rsid w:val="00CF4A17"/>
    <w:rsid w:val="00CF6285"/>
    <w:rsid w:val="00D00454"/>
    <w:rsid w:val="00D031CE"/>
    <w:rsid w:val="00D04B03"/>
    <w:rsid w:val="00D050AE"/>
    <w:rsid w:val="00D056BB"/>
    <w:rsid w:val="00D05EF0"/>
    <w:rsid w:val="00D06BB4"/>
    <w:rsid w:val="00D07E52"/>
    <w:rsid w:val="00D10CD9"/>
    <w:rsid w:val="00D14BF7"/>
    <w:rsid w:val="00D16161"/>
    <w:rsid w:val="00D171EA"/>
    <w:rsid w:val="00D17BBE"/>
    <w:rsid w:val="00D21CCF"/>
    <w:rsid w:val="00D21D6C"/>
    <w:rsid w:val="00D2254A"/>
    <w:rsid w:val="00D226F8"/>
    <w:rsid w:val="00D22F1F"/>
    <w:rsid w:val="00D26AA2"/>
    <w:rsid w:val="00D271AD"/>
    <w:rsid w:val="00D31C9C"/>
    <w:rsid w:val="00D31E5F"/>
    <w:rsid w:val="00D35E96"/>
    <w:rsid w:val="00D36510"/>
    <w:rsid w:val="00D4021E"/>
    <w:rsid w:val="00D434E8"/>
    <w:rsid w:val="00D44186"/>
    <w:rsid w:val="00D45B94"/>
    <w:rsid w:val="00D45CC0"/>
    <w:rsid w:val="00D45F06"/>
    <w:rsid w:val="00D50252"/>
    <w:rsid w:val="00D50D24"/>
    <w:rsid w:val="00D53992"/>
    <w:rsid w:val="00D6692D"/>
    <w:rsid w:val="00D71B94"/>
    <w:rsid w:val="00D739C8"/>
    <w:rsid w:val="00D73D03"/>
    <w:rsid w:val="00D76567"/>
    <w:rsid w:val="00D9038B"/>
    <w:rsid w:val="00D95B99"/>
    <w:rsid w:val="00D975BE"/>
    <w:rsid w:val="00DA1A1F"/>
    <w:rsid w:val="00DA4EDF"/>
    <w:rsid w:val="00DB3CAD"/>
    <w:rsid w:val="00DC22E8"/>
    <w:rsid w:val="00DC41C2"/>
    <w:rsid w:val="00DC4B9C"/>
    <w:rsid w:val="00DC535C"/>
    <w:rsid w:val="00DC6E3F"/>
    <w:rsid w:val="00DD2CF3"/>
    <w:rsid w:val="00DD7262"/>
    <w:rsid w:val="00DD7E61"/>
    <w:rsid w:val="00DE0307"/>
    <w:rsid w:val="00DE3A41"/>
    <w:rsid w:val="00DE7DBF"/>
    <w:rsid w:val="00DE7F35"/>
    <w:rsid w:val="00DF3F9F"/>
    <w:rsid w:val="00DF5278"/>
    <w:rsid w:val="00DF6C15"/>
    <w:rsid w:val="00E01B94"/>
    <w:rsid w:val="00E0218E"/>
    <w:rsid w:val="00E066BF"/>
    <w:rsid w:val="00E07856"/>
    <w:rsid w:val="00E10F2B"/>
    <w:rsid w:val="00E11CAC"/>
    <w:rsid w:val="00E123E5"/>
    <w:rsid w:val="00E1640F"/>
    <w:rsid w:val="00E16E7F"/>
    <w:rsid w:val="00E233A7"/>
    <w:rsid w:val="00E236D9"/>
    <w:rsid w:val="00E24537"/>
    <w:rsid w:val="00E247DA"/>
    <w:rsid w:val="00E264AD"/>
    <w:rsid w:val="00E26814"/>
    <w:rsid w:val="00E26A96"/>
    <w:rsid w:val="00E26F51"/>
    <w:rsid w:val="00E30996"/>
    <w:rsid w:val="00E30E4F"/>
    <w:rsid w:val="00E3250F"/>
    <w:rsid w:val="00E36F4B"/>
    <w:rsid w:val="00E379CA"/>
    <w:rsid w:val="00E379CD"/>
    <w:rsid w:val="00E40197"/>
    <w:rsid w:val="00E4041C"/>
    <w:rsid w:val="00E41E31"/>
    <w:rsid w:val="00E4476D"/>
    <w:rsid w:val="00E50E1B"/>
    <w:rsid w:val="00E51B17"/>
    <w:rsid w:val="00E5359C"/>
    <w:rsid w:val="00E56F83"/>
    <w:rsid w:val="00E5733A"/>
    <w:rsid w:val="00E57F95"/>
    <w:rsid w:val="00E661DB"/>
    <w:rsid w:val="00E67418"/>
    <w:rsid w:val="00E67FCB"/>
    <w:rsid w:val="00E70C81"/>
    <w:rsid w:val="00E70D6A"/>
    <w:rsid w:val="00E725E6"/>
    <w:rsid w:val="00E728BD"/>
    <w:rsid w:val="00E8122E"/>
    <w:rsid w:val="00E835B7"/>
    <w:rsid w:val="00E8420C"/>
    <w:rsid w:val="00E84CEF"/>
    <w:rsid w:val="00E86C97"/>
    <w:rsid w:val="00E901D2"/>
    <w:rsid w:val="00E93BBA"/>
    <w:rsid w:val="00E9501A"/>
    <w:rsid w:val="00E951F5"/>
    <w:rsid w:val="00E95C96"/>
    <w:rsid w:val="00E96C21"/>
    <w:rsid w:val="00E96D32"/>
    <w:rsid w:val="00EA1969"/>
    <w:rsid w:val="00EA1C1D"/>
    <w:rsid w:val="00EA26D4"/>
    <w:rsid w:val="00EA311B"/>
    <w:rsid w:val="00EA3C9F"/>
    <w:rsid w:val="00EA7048"/>
    <w:rsid w:val="00EB1BFB"/>
    <w:rsid w:val="00EB1DAE"/>
    <w:rsid w:val="00EB5B74"/>
    <w:rsid w:val="00EB63FF"/>
    <w:rsid w:val="00EB7289"/>
    <w:rsid w:val="00EC2D96"/>
    <w:rsid w:val="00EC5ED6"/>
    <w:rsid w:val="00ED0261"/>
    <w:rsid w:val="00ED28CE"/>
    <w:rsid w:val="00ED3134"/>
    <w:rsid w:val="00EE071E"/>
    <w:rsid w:val="00EE4CCF"/>
    <w:rsid w:val="00EE4F86"/>
    <w:rsid w:val="00EF669C"/>
    <w:rsid w:val="00EF78E9"/>
    <w:rsid w:val="00F00EF4"/>
    <w:rsid w:val="00F012DE"/>
    <w:rsid w:val="00F04AC6"/>
    <w:rsid w:val="00F12DEF"/>
    <w:rsid w:val="00F203C7"/>
    <w:rsid w:val="00F215CD"/>
    <w:rsid w:val="00F2248D"/>
    <w:rsid w:val="00F25014"/>
    <w:rsid w:val="00F251F5"/>
    <w:rsid w:val="00F2726C"/>
    <w:rsid w:val="00F275C5"/>
    <w:rsid w:val="00F2775F"/>
    <w:rsid w:val="00F312DF"/>
    <w:rsid w:val="00F343CB"/>
    <w:rsid w:val="00F35D0C"/>
    <w:rsid w:val="00F368D8"/>
    <w:rsid w:val="00F378B0"/>
    <w:rsid w:val="00F37E7D"/>
    <w:rsid w:val="00F42CDB"/>
    <w:rsid w:val="00F42E0D"/>
    <w:rsid w:val="00F45693"/>
    <w:rsid w:val="00F45F5C"/>
    <w:rsid w:val="00F46028"/>
    <w:rsid w:val="00F5114D"/>
    <w:rsid w:val="00F5152F"/>
    <w:rsid w:val="00F52778"/>
    <w:rsid w:val="00F52C0E"/>
    <w:rsid w:val="00F53D76"/>
    <w:rsid w:val="00F540C0"/>
    <w:rsid w:val="00F54998"/>
    <w:rsid w:val="00F56DA3"/>
    <w:rsid w:val="00F572C7"/>
    <w:rsid w:val="00F61321"/>
    <w:rsid w:val="00F63A42"/>
    <w:rsid w:val="00F6471F"/>
    <w:rsid w:val="00F66152"/>
    <w:rsid w:val="00F66E68"/>
    <w:rsid w:val="00F6730B"/>
    <w:rsid w:val="00F7366F"/>
    <w:rsid w:val="00F74276"/>
    <w:rsid w:val="00F77077"/>
    <w:rsid w:val="00F772DE"/>
    <w:rsid w:val="00F77CB8"/>
    <w:rsid w:val="00F8273F"/>
    <w:rsid w:val="00F92405"/>
    <w:rsid w:val="00F95600"/>
    <w:rsid w:val="00F9720A"/>
    <w:rsid w:val="00F9789A"/>
    <w:rsid w:val="00FA1C81"/>
    <w:rsid w:val="00FA3452"/>
    <w:rsid w:val="00FA63EF"/>
    <w:rsid w:val="00FA680D"/>
    <w:rsid w:val="00FB1856"/>
    <w:rsid w:val="00FB3932"/>
    <w:rsid w:val="00FB3AC9"/>
    <w:rsid w:val="00FC4A87"/>
    <w:rsid w:val="00FC6399"/>
    <w:rsid w:val="00FD1840"/>
    <w:rsid w:val="00FD22A4"/>
    <w:rsid w:val="00FD2C76"/>
    <w:rsid w:val="00FD593E"/>
    <w:rsid w:val="00FE20BD"/>
    <w:rsid w:val="00FE2373"/>
    <w:rsid w:val="00FF0D06"/>
    <w:rsid w:val="00FF1188"/>
    <w:rsid w:val="00FF2681"/>
    <w:rsid w:val="00FF398C"/>
    <w:rsid w:val="00FF6051"/>
    <w:rsid w:val="00FF61AB"/>
    <w:rsid w:val="24B477FD"/>
    <w:rsid w:val="29E61678"/>
    <w:rsid w:val="345941E7"/>
    <w:rsid w:val="374310F4"/>
    <w:rsid w:val="384A03CE"/>
    <w:rsid w:val="3B7FF4B3"/>
    <w:rsid w:val="43FA8C7C"/>
    <w:rsid w:val="4F846A83"/>
    <w:rsid w:val="5C402B81"/>
    <w:rsid w:val="660152B8"/>
    <w:rsid w:val="7162598C"/>
    <w:rsid w:val="77EFE419"/>
    <w:rsid w:val="A7E1A598"/>
    <w:rsid w:val="DFDD48FF"/>
    <w:rsid w:val="F1F8A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19"/>
    <w:qFormat/>
    <w:uiPriority w:val="9"/>
    <w:pPr>
      <w:keepNext/>
      <w:keepLines/>
      <w:spacing w:before="480" w:after="360" w:line="240" w:lineRule="auto"/>
      <w:jc w:val="center"/>
      <w:outlineLvl w:val="0"/>
    </w:pPr>
    <w:rPr>
      <w:rFonts w:eastAsia="黑体"/>
      <w:b/>
      <w:bCs/>
      <w:kern w:val="44"/>
      <w:sz w:val="32"/>
      <w:szCs w:val="44"/>
    </w:rPr>
  </w:style>
  <w:style w:type="paragraph" w:styleId="3">
    <w:name w:val="heading 2"/>
    <w:basedOn w:val="1"/>
    <w:next w:val="1"/>
    <w:link w:val="20"/>
    <w:unhideWhenUsed/>
    <w:qFormat/>
    <w:uiPriority w:val="9"/>
    <w:pPr>
      <w:keepNext/>
      <w:keepLines/>
      <w:spacing w:before="480" w:after="120"/>
      <w:outlineLvl w:val="1"/>
    </w:pPr>
    <w:rPr>
      <w:rFonts w:eastAsia="黑体" w:cstheme="majorBidi"/>
      <w:b/>
      <w:bCs/>
      <w:sz w:val="28"/>
      <w:szCs w:val="32"/>
    </w:rPr>
  </w:style>
  <w:style w:type="paragraph" w:styleId="4">
    <w:name w:val="heading 3"/>
    <w:basedOn w:val="1"/>
    <w:next w:val="1"/>
    <w:link w:val="24"/>
    <w:unhideWhenUsed/>
    <w:qFormat/>
    <w:uiPriority w:val="9"/>
    <w:pPr>
      <w:ind w:firstLine="482" w:firstLineChars="200"/>
      <w:outlineLvl w:val="2"/>
    </w:pPr>
    <w:rPr>
      <w:b/>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5"/>
    <w:unhideWhenUsed/>
    <w:qFormat/>
    <w:uiPriority w:val="99"/>
    <w:pPr>
      <w:jc w:val="left"/>
    </w:pPr>
  </w:style>
  <w:style w:type="paragraph" w:styleId="6">
    <w:name w:val="toc 3"/>
    <w:basedOn w:val="1"/>
    <w:next w:val="1"/>
    <w:unhideWhenUsed/>
    <w:qFormat/>
    <w:uiPriority w:val="39"/>
    <w:pPr>
      <w:widowControl/>
      <w:spacing w:after="100" w:line="259" w:lineRule="auto"/>
      <w:ind w:left="440"/>
      <w:jc w:val="left"/>
    </w:pPr>
    <w:rPr>
      <w:rFonts w:cs="Times New Roman" w:asciiTheme="minorHAnsi" w:hAnsiTheme="minorHAnsi" w:eastAsiaTheme="minorEastAsia"/>
      <w:kern w:val="0"/>
      <w:sz w:val="22"/>
    </w:rPr>
  </w:style>
  <w:style w:type="paragraph" w:styleId="7">
    <w:name w:val="Balloon Text"/>
    <w:basedOn w:val="1"/>
    <w:link w:val="27"/>
    <w:semiHidden/>
    <w:unhideWhenUsed/>
    <w:qFormat/>
    <w:uiPriority w:val="99"/>
    <w:pPr>
      <w:spacing w:line="240" w:lineRule="auto"/>
    </w:pPr>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59" w:lineRule="auto"/>
      <w:jc w:val="left"/>
    </w:pPr>
    <w:rPr>
      <w:rFonts w:cs="Times New Roman" w:asciiTheme="minorHAnsi" w:hAnsiTheme="minorHAnsi" w:eastAsiaTheme="minorEastAsia"/>
      <w:kern w:val="0"/>
      <w:sz w:val="22"/>
    </w:rPr>
  </w:style>
  <w:style w:type="paragraph" w:styleId="11">
    <w:name w:val="toc 2"/>
    <w:basedOn w:val="1"/>
    <w:next w:val="1"/>
    <w:unhideWhenUsed/>
    <w:qFormat/>
    <w:uiPriority w:val="39"/>
    <w:pPr>
      <w:widowControl/>
      <w:spacing w:after="100" w:line="259" w:lineRule="auto"/>
      <w:ind w:left="220"/>
      <w:jc w:val="left"/>
    </w:pPr>
    <w:rPr>
      <w:rFonts w:cs="Times New Roman" w:asciiTheme="minorHAnsi" w:hAnsiTheme="minorHAnsi" w:eastAsiaTheme="minorEastAsia"/>
      <w:kern w:val="0"/>
      <w:sz w:val="22"/>
    </w:rPr>
  </w:style>
  <w:style w:type="paragraph" w:styleId="12">
    <w:name w:val="annotation subject"/>
    <w:basedOn w:val="5"/>
    <w:next w:val="5"/>
    <w:link w:val="26"/>
    <w:semiHidden/>
    <w:unhideWhenUsed/>
    <w:qFormat/>
    <w:uiPriority w:val="99"/>
    <w:rPr>
      <w:b/>
      <w:bCs/>
    </w:rPr>
  </w:style>
  <w:style w:type="character" w:styleId="15">
    <w:name w:val="Hyperlink"/>
    <w:basedOn w:val="14"/>
    <w:unhideWhenUsed/>
    <w:qFormat/>
    <w:uiPriority w:val="99"/>
    <w:rPr>
      <w:rFonts w:ascii="Times New Roman" w:hAnsi="Times New Roman" w:eastAsia="宋体"/>
      <w:color w:val="0563C1"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页眉 字符"/>
    <w:basedOn w:val="14"/>
    <w:link w:val="9"/>
    <w:qFormat/>
    <w:uiPriority w:val="99"/>
    <w:rPr>
      <w:sz w:val="18"/>
      <w:szCs w:val="18"/>
    </w:rPr>
  </w:style>
  <w:style w:type="character" w:customStyle="1" w:styleId="18">
    <w:name w:val="页脚 字符"/>
    <w:basedOn w:val="14"/>
    <w:link w:val="8"/>
    <w:qFormat/>
    <w:uiPriority w:val="99"/>
    <w:rPr>
      <w:sz w:val="18"/>
      <w:szCs w:val="18"/>
    </w:rPr>
  </w:style>
  <w:style w:type="character" w:customStyle="1" w:styleId="19">
    <w:name w:val="标题 1 字符"/>
    <w:basedOn w:val="14"/>
    <w:link w:val="2"/>
    <w:qFormat/>
    <w:uiPriority w:val="9"/>
    <w:rPr>
      <w:rFonts w:ascii="Times New Roman" w:hAnsi="Times New Roman" w:eastAsia="黑体"/>
      <w:b/>
      <w:bCs/>
      <w:kern w:val="44"/>
      <w:sz w:val="32"/>
      <w:szCs w:val="44"/>
    </w:rPr>
  </w:style>
  <w:style w:type="character" w:customStyle="1" w:styleId="20">
    <w:name w:val="标题 2 字符"/>
    <w:basedOn w:val="14"/>
    <w:link w:val="3"/>
    <w:qFormat/>
    <w:uiPriority w:val="9"/>
    <w:rPr>
      <w:rFonts w:ascii="Times New Roman" w:hAnsi="Times New Roman" w:eastAsia="黑体" w:cstheme="majorBidi"/>
      <w:b/>
      <w:bCs/>
      <w:sz w:val="28"/>
      <w:szCs w:val="32"/>
    </w:rPr>
  </w:style>
  <w:style w:type="paragraph" w:styleId="21">
    <w:name w:val="List Paragraph"/>
    <w:basedOn w:val="1"/>
    <w:qFormat/>
    <w:uiPriority w:val="34"/>
    <w:pPr>
      <w:ind w:firstLine="420" w:firstLineChars="200"/>
    </w:p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Cs w:val="32"/>
    </w:rPr>
  </w:style>
  <w:style w:type="character" w:customStyle="1" w:styleId="23">
    <w:name w:val="Unresolved Mention"/>
    <w:basedOn w:val="14"/>
    <w:semiHidden/>
    <w:unhideWhenUsed/>
    <w:qFormat/>
    <w:uiPriority w:val="99"/>
    <w:rPr>
      <w:color w:val="605E5C"/>
      <w:shd w:val="clear" w:color="auto" w:fill="E1DFDD"/>
    </w:rPr>
  </w:style>
  <w:style w:type="character" w:customStyle="1" w:styleId="24">
    <w:name w:val="标题 3 字符"/>
    <w:basedOn w:val="14"/>
    <w:link w:val="4"/>
    <w:qFormat/>
    <w:uiPriority w:val="9"/>
    <w:rPr>
      <w:rFonts w:ascii="Times New Roman" w:hAnsi="Times New Roman" w:eastAsia="宋体"/>
      <w:b/>
      <w:sz w:val="24"/>
    </w:rPr>
  </w:style>
  <w:style w:type="character" w:customStyle="1" w:styleId="25">
    <w:name w:val="批注文字 字符"/>
    <w:basedOn w:val="14"/>
    <w:link w:val="5"/>
    <w:qFormat/>
    <w:uiPriority w:val="99"/>
    <w:rPr>
      <w:rFonts w:ascii="Times New Roman" w:hAnsi="Times New Roman" w:eastAsia="宋体"/>
      <w:sz w:val="24"/>
    </w:rPr>
  </w:style>
  <w:style w:type="character" w:customStyle="1" w:styleId="26">
    <w:name w:val="批注主题 字符"/>
    <w:basedOn w:val="25"/>
    <w:link w:val="12"/>
    <w:semiHidden/>
    <w:qFormat/>
    <w:uiPriority w:val="99"/>
    <w:rPr>
      <w:rFonts w:ascii="Times New Roman" w:hAnsi="Times New Roman" w:eastAsia="宋体"/>
      <w:b/>
      <w:bCs/>
      <w:sz w:val="24"/>
    </w:rPr>
  </w:style>
  <w:style w:type="character" w:customStyle="1" w:styleId="27">
    <w:name w:val="批注框文本 字符"/>
    <w:basedOn w:val="14"/>
    <w:link w:val="7"/>
    <w:semiHidden/>
    <w:qFormat/>
    <w:uiPriority w:val="99"/>
    <w:rPr>
      <w:rFonts w:ascii="Times New Roman" w:hAnsi="Times New Roman" w:eastAsia="宋体"/>
      <w:sz w:val="18"/>
      <w:szCs w:val="18"/>
    </w:rPr>
  </w:style>
  <w:style w:type="paragraph" w:customStyle="1" w:styleId="28">
    <w:name w:val="Revision"/>
    <w:hidden/>
    <w:semiHidden/>
    <w:qFormat/>
    <w:uiPriority w:val="99"/>
    <w:rPr>
      <w:rFonts w:ascii="Times New Roman" w:hAnsi="Times New Roman" w:eastAsia="宋体"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6913</Words>
  <Characters>8488</Characters>
  <Lines>105</Lines>
  <Paragraphs>29</Paragraphs>
  <TotalTime>31</TotalTime>
  <ScaleCrop>false</ScaleCrop>
  <LinksUpToDate>false</LinksUpToDate>
  <CharactersWithSpaces>8827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2022-09-21T00:44:00Z</dcterms:created>
  <dc:creator>qiuhaowang@163.com</dc:creator>
  <cp:lastModifiedBy>费海伲</cp:lastModifiedBy>
  <cp:lastPrinted>2022-09-21T00:52:00Z</cp:lastPrinted>
  <dcterms:modified xsi:type="dcterms:W3CDTF">2026-10-09T02:06:38Z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6F3421164DD3E7CEF838576A3066FA6F_42</vt:lpwstr>
  </property>
  <property fmtid="{D5CDD505-2E9C-101B-9397-08002B2CF9AE}" pid="4" name="KSOTemplateDocerSaveRecord">
    <vt:lpwstr>eyJoZGlkIjoiOTRlYmMxNzI2NDQ5OWNmNWM5NDkzNzViM2EyZDc1ODgiLCJ1c2VySWQiOiIxNzQxNTI5ODM5In0=</vt:lpwstr>
  </property>
</Properties>
</file>